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01E9" w14:textId="499F8863" w:rsidR="00111FEC" w:rsidRPr="007C551A" w:rsidRDefault="00FC3E75" w:rsidP="001479DD">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2C8F078F" w14:textId="77777777" w:rsidR="00111FEC" w:rsidRPr="007C551A" w:rsidRDefault="00111FEC" w:rsidP="0008124E">
      <w:pPr>
        <w:rPr>
          <w:rFonts w:ascii="Verdana" w:hAnsi="Verdana" w:cs="Arial"/>
          <w:b/>
          <w:lang w:val="en-GB"/>
        </w:rPr>
      </w:pPr>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66CEFE40" w:rsidR="00C21F9A" w:rsidRPr="007C551A" w:rsidRDefault="004C7912" w:rsidP="00B75D93">
            <w:pPr>
              <w:rPr>
                <w:rFonts w:ascii="Verdana" w:hAnsi="Verdana" w:cs="Arial"/>
                <w:b/>
                <w:sz w:val="18"/>
                <w:szCs w:val="18"/>
                <w:lang w:val="en-GB"/>
              </w:rPr>
            </w:pPr>
            <w:r>
              <w:rPr>
                <w:rFonts w:ascii="Verdana" w:hAnsi="Verdana" w:cs="Arial"/>
                <w:b/>
                <w:sz w:val="18"/>
                <w:szCs w:val="18"/>
                <w:lang w:val="en-GB"/>
              </w:rPr>
              <w:t>AF-</w:t>
            </w:r>
            <w:r w:rsidR="0054152B">
              <w:rPr>
                <w:rFonts w:ascii="Verdana" w:hAnsi="Verdana" w:cs="Arial"/>
                <w:b/>
                <w:sz w:val="18"/>
                <w:szCs w:val="18"/>
                <w:lang w:val="en-GB"/>
              </w:rPr>
              <w:t>18042</w:t>
            </w:r>
          </w:p>
        </w:tc>
      </w:tr>
      <w:tr w:rsidR="00C21F9A" w:rsidRPr="007C551A"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32BF1753" w:rsidR="00C21F9A" w:rsidRPr="007C551A" w:rsidRDefault="0054152B" w:rsidP="00B75D93">
            <w:pPr>
              <w:rPr>
                <w:rFonts w:ascii="Verdana" w:hAnsi="Verdana" w:cs="Arial"/>
                <w:b/>
                <w:sz w:val="18"/>
                <w:szCs w:val="18"/>
                <w:lang w:val="en-GB"/>
              </w:rPr>
            </w:pPr>
            <w:r>
              <w:rPr>
                <w:rFonts w:ascii="Verdana" w:hAnsi="Verdana" w:cs="Arial"/>
                <w:b/>
                <w:sz w:val="18"/>
                <w:szCs w:val="18"/>
                <w:lang w:val="en-GB"/>
              </w:rPr>
              <w:t>SPRINT</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2CCE8AC7" w:rsidR="00C21F9A" w:rsidRPr="007C551A" w:rsidRDefault="0054152B" w:rsidP="00B75D93">
            <w:pPr>
              <w:rPr>
                <w:rFonts w:ascii="Verdana" w:hAnsi="Verdana" w:cs="Arial"/>
                <w:b/>
                <w:sz w:val="18"/>
                <w:szCs w:val="18"/>
                <w:lang w:val="en-GB"/>
              </w:rPr>
            </w:pPr>
            <w:proofErr w:type="spellStart"/>
            <w:r>
              <w:rPr>
                <w:rFonts w:ascii="Verdana" w:hAnsi="Verdana" w:cs="Arial"/>
                <w:b/>
                <w:sz w:val="18"/>
                <w:szCs w:val="18"/>
                <w:lang w:val="en-GB"/>
              </w:rPr>
              <w:t>Gezond</w:t>
            </w:r>
            <w:proofErr w:type="spellEnd"/>
            <w:r>
              <w:rPr>
                <w:rFonts w:ascii="Verdana" w:hAnsi="Verdana" w:cs="Arial"/>
                <w:b/>
                <w:sz w:val="18"/>
                <w:szCs w:val="18"/>
                <w:lang w:val="en-GB"/>
              </w:rPr>
              <w:t xml:space="preserve"> en </w:t>
            </w:r>
            <w:proofErr w:type="spellStart"/>
            <w:r>
              <w:rPr>
                <w:rFonts w:ascii="Verdana" w:hAnsi="Verdana" w:cs="Arial"/>
                <w:b/>
                <w:sz w:val="18"/>
                <w:szCs w:val="18"/>
                <w:lang w:val="en-GB"/>
              </w:rPr>
              <w:t>veilig</w:t>
            </w:r>
            <w:proofErr w:type="spellEnd"/>
            <w:r>
              <w:rPr>
                <w:rFonts w:ascii="Verdana" w:hAnsi="Verdana" w:cs="Arial"/>
                <w:b/>
                <w:sz w:val="18"/>
                <w:szCs w:val="18"/>
                <w:lang w:val="en-GB"/>
              </w:rPr>
              <w:t xml:space="preserve">, </w:t>
            </w:r>
            <w:proofErr w:type="spellStart"/>
            <w:r>
              <w:rPr>
                <w:rFonts w:ascii="Verdana" w:hAnsi="Verdana" w:cs="Arial"/>
                <w:b/>
                <w:sz w:val="18"/>
                <w:szCs w:val="18"/>
                <w:lang w:val="en-GB"/>
              </w:rPr>
              <w:t>Ciculair</w:t>
            </w:r>
            <w:proofErr w:type="spellEnd"/>
          </w:p>
        </w:tc>
      </w:tr>
      <w:tr w:rsidR="00502949" w:rsidRPr="001479DD"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49203CBB" w:rsidR="00502949" w:rsidRPr="007C551A" w:rsidRDefault="0054152B" w:rsidP="00B75D93">
            <w:pPr>
              <w:rPr>
                <w:rFonts w:ascii="Verdana" w:hAnsi="Verdana" w:cs="Arial"/>
                <w:b/>
                <w:sz w:val="18"/>
                <w:szCs w:val="18"/>
                <w:lang w:val="en-GB"/>
              </w:rPr>
            </w:pPr>
            <w:r>
              <w:rPr>
                <w:rFonts w:ascii="Verdana" w:hAnsi="Verdana" w:cs="Arial"/>
                <w:b/>
                <w:sz w:val="18"/>
                <w:szCs w:val="18"/>
                <w:lang w:val="en-GB"/>
              </w:rPr>
              <w:t>Wageningen Food and Biobased Research</w:t>
            </w:r>
          </w:p>
        </w:tc>
      </w:tr>
      <w:tr w:rsidR="00C21F9A" w:rsidRPr="004C7912"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883EF9F" w14:textId="4D139501" w:rsidR="00C21F9A" w:rsidRPr="0054152B" w:rsidRDefault="0054152B" w:rsidP="00B75D93">
            <w:pPr>
              <w:rPr>
                <w:rFonts w:ascii="Verdana" w:hAnsi="Verdana" w:cs="Arial"/>
                <w:sz w:val="18"/>
                <w:szCs w:val="18"/>
                <w:lang w:val="en-GB"/>
              </w:rPr>
            </w:pPr>
            <w:r>
              <w:rPr>
                <w:rFonts w:ascii="Verdana" w:hAnsi="Verdana" w:cs="Arial"/>
                <w:sz w:val="18"/>
                <w:szCs w:val="18"/>
                <w:lang w:val="en-GB"/>
              </w:rPr>
              <w:t>Jerome Diaz, jerome.diaz@wur.nl</w:t>
            </w:r>
          </w:p>
        </w:tc>
      </w:tr>
      <w:tr w:rsidR="00C21F9A" w:rsidRPr="004C7912"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2FC6EBB4" w14:textId="77777777" w:rsidR="00C21F9A" w:rsidRDefault="0054152B" w:rsidP="00B75D93">
            <w:pPr>
              <w:rPr>
                <w:rFonts w:ascii="Verdana" w:hAnsi="Verdana" w:cs="Arial"/>
                <w:b/>
                <w:sz w:val="18"/>
                <w:szCs w:val="18"/>
                <w:lang w:val="en-GB"/>
              </w:rPr>
            </w:pPr>
            <w:r>
              <w:rPr>
                <w:rFonts w:ascii="Verdana" w:hAnsi="Verdana" w:cs="Arial"/>
                <w:b/>
                <w:sz w:val="18"/>
                <w:szCs w:val="18"/>
                <w:lang w:val="en-GB"/>
              </w:rPr>
              <w:t>Erik de Been</w:t>
            </w:r>
          </w:p>
          <w:p w14:paraId="3A382C3E" w14:textId="0E641003" w:rsidR="0054152B" w:rsidRPr="007C551A" w:rsidRDefault="0054152B" w:rsidP="00B75D93">
            <w:pPr>
              <w:rPr>
                <w:rFonts w:ascii="Verdana" w:hAnsi="Verdana" w:cs="Arial"/>
                <w:b/>
                <w:sz w:val="18"/>
                <w:szCs w:val="18"/>
                <w:lang w:val="en-GB"/>
              </w:rPr>
            </w:pPr>
          </w:p>
        </w:tc>
      </w:tr>
      <w:tr w:rsidR="008C2AE7" w:rsidRPr="007C551A"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305D216" w14:textId="63D3E745" w:rsidR="008C2AE7" w:rsidRPr="007C551A" w:rsidRDefault="0054152B" w:rsidP="00B75D93">
            <w:pPr>
              <w:rPr>
                <w:rFonts w:ascii="Verdana" w:hAnsi="Verdana" w:cs="Arial"/>
                <w:b/>
                <w:sz w:val="18"/>
                <w:szCs w:val="18"/>
                <w:lang w:val="en-GB"/>
              </w:rPr>
            </w:pPr>
            <w:proofErr w:type="spellStart"/>
            <w:r>
              <w:rPr>
                <w:rFonts w:ascii="Verdana" w:hAnsi="Verdana" w:cs="Arial"/>
                <w:b/>
                <w:sz w:val="18"/>
                <w:szCs w:val="18"/>
                <w:lang w:val="en-GB"/>
              </w:rPr>
              <w:t>n.a.</w:t>
            </w:r>
            <w:proofErr w:type="spellEnd"/>
          </w:p>
        </w:tc>
      </w:tr>
      <w:tr w:rsidR="00D73730" w:rsidRPr="007C551A"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3EF37765" w:rsidR="00D73730" w:rsidRPr="007C551A" w:rsidRDefault="0054152B" w:rsidP="00B75D93">
            <w:pPr>
              <w:rPr>
                <w:rFonts w:ascii="Verdana" w:hAnsi="Verdana" w:cs="Arial"/>
                <w:b/>
                <w:sz w:val="18"/>
                <w:szCs w:val="18"/>
                <w:lang w:val="en-GB"/>
              </w:rPr>
            </w:pPr>
            <w:r>
              <w:rPr>
                <w:rFonts w:ascii="Verdana" w:hAnsi="Verdana" w:cs="Arial"/>
                <w:b/>
                <w:sz w:val="18"/>
                <w:szCs w:val="18"/>
                <w:lang w:val="en-GB"/>
              </w:rPr>
              <w:t>April 1, 2019</w:t>
            </w:r>
          </w:p>
        </w:tc>
      </w:tr>
      <w:tr w:rsidR="004977B1" w:rsidRPr="007C551A"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6C4FCA01" w:rsidR="004977B1" w:rsidRPr="007C551A" w:rsidRDefault="0054152B" w:rsidP="00B75D93">
            <w:pPr>
              <w:rPr>
                <w:rFonts w:ascii="Verdana" w:hAnsi="Verdana" w:cs="Arial"/>
                <w:b/>
                <w:sz w:val="18"/>
                <w:szCs w:val="18"/>
                <w:lang w:val="en-GB"/>
              </w:rPr>
            </w:pPr>
            <w:r>
              <w:rPr>
                <w:rFonts w:ascii="Verdana" w:hAnsi="Verdana" w:cs="Arial"/>
                <w:b/>
                <w:sz w:val="18"/>
                <w:szCs w:val="18"/>
                <w:lang w:val="en-GB"/>
              </w:rPr>
              <w:t>March 30, 202</w:t>
            </w:r>
            <w:r w:rsidR="00ED0FAB">
              <w:rPr>
                <w:rFonts w:ascii="Verdana" w:hAnsi="Verdana" w:cs="Arial"/>
                <w:b/>
                <w:sz w:val="18"/>
                <w:szCs w:val="18"/>
                <w:lang w:val="en-GB"/>
              </w:rPr>
              <w:t>2</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58260A40" w:rsidR="00D93FB0" w:rsidRPr="007C551A" w:rsidRDefault="0054152B"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3B027467" w:rsidR="00D93FB0" w:rsidRPr="007C551A" w:rsidRDefault="00D93FB0" w:rsidP="007543B9">
            <w:pPr>
              <w:rPr>
                <w:rFonts w:ascii="Verdana" w:hAnsi="Verdana" w:cs="Arial"/>
                <w:b/>
                <w:sz w:val="18"/>
                <w:szCs w:val="18"/>
                <w:lang w:val="en-GB"/>
              </w:rPr>
            </w:pPr>
          </w:p>
        </w:tc>
      </w:tr>
      <w:tr w:rsidR="00D93FB0" w:rsidRPr="004C7912"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6C4675EC" w:rsidR="00D93FB0" w:rsidRPr="007C551A" w:rsidRDefault="0054152B" w:rsidP="007543B9">
            <w:pPr>
              <w:rPr>
                <w:rFonts w:ascii="Verdana" w:hAnsi="Verdana" w:cs="Arial"/>
                <w:b/>
                <w:sz w:val="18"/>
                <w:szCs w:val="18"/>
                <w:lang w:val="en-GB"/>
              </w:rPr>
            </w:pPr>
            <w:r>
              <w:rPr>
                <w:rFonts w:ascii="Verdana" w:hAnsi="Verdana" w:cs="Arial"/>
                <w:b/>
                <w:sz w:val="18"/>
                <w:szCs w:val="18"/>
                <w:lang w:val="en-GB"/>
              </w:rPr>
              <w:t>None</w:t>
            </w: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1479DD"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35695BD4" w14:textId="77777777" w:rsidR="0054152B" w:rsidRDefault="0054152B" w:rsidP="0054152B">
            <w:pPr>
              <w:rPr>
                <w:lang w:val="en-GB"/>
              </w:rPr>
            </w:pPr>
            <w:r w:rsidRPr="00FA5714">
              <w:rPr>
                <w:lang w:val="en-GB"/>
              </w:rPr>
              <w:t xml:space="preserve">SPRINT is a multidisciplinary public-private partnership (PPP) which aims to achieve breakthroughs in developing sustainable, </w:t>
            </w:r>
            <w:r>
              <w:rPr>
                <w:lang w:val="en-GB"/>
              </w:rPr>
              <w:t>multi-</w:t>
            </w:r>
            <w:r w:rsidRPr="00FA5714">
              <w:rPr>
                <w:lang w:val="en-GB"/>
              </w:rPr>
              <w:t xml:space="preserve">functional, clean label ingredients </w:t>
            </w:r>
            <w:r>
              <w:rPr>
                <w:lang w:val="en-GB"/>
              </w:rPr>
              <w:t xml:space="preserve">for food and pet food manufacturers </w:t>
            </w:r>
            <w:r w:rsidRPr="00FA5714">
              <w:rPr>
                <w:lang w:val="en-GB"/>
              </w:rPr>
              <w:t xml:space="preserve">from </w:t>
            </w:r>
            <w:r>
              <w:rPr>
                <w:lang w:val="en-GB"/>
              </w:rPr>
              <w:t>available co-products</w:t>
            </w:r>
            <w:r w:rsidRPr="00FA5714">
              <w:rPr>
                <w:lang w:val="en-GB"/>
              </w:rPr>
              <w:t xml:space="preserve"> </w:t>
            </w:r>
            <w:r>
              <w:rPr>
                <w:lang w:val="en-GB"/>
              </w:rPr>
              <w:t xml:space="preserve">within the agri-food industry. </w:t>
            </w:r>
            <w:r w:rsidRPr="00FA5714">
              <w:rPr>
                <w:lang w:val="en-GB"/>
              </w:rPr>
              <w:t>The consortium, represented by stakeholders from across the food production chain comes together</w:t>
            </w:r>
            <w:r>
              <w:rPr>
                <w:lang w:val="en-GB"/>
              </w:rPr>
              <w:t xml:space="preserve"> to fill the knowledge gaps between demand and supply </w:t>
            </w:r>
            <w:r w:rsidRPr="00FA5714">
              <w:rPr>
                <w:lang w:val="en-GB"/>
              </w:rPr>
              <w:t>that is application focused and functionality driven</w:t>
            </w:r>
            <w:r>
              <w:rPr>
                <w:lang w:val="en-GB"/>
              </w:rPr>
              <w:t xml:space="preserve">. The increasing consumer focus towards healthy, natural, clean label foods and the emphasis on implementing total use of resources are the main drivers for SPRINT. </w:t>
            </w:r>
          </w:p>
          <w:p w14:paraId="25F4A4B7" w14:textId="77777777" w:rsidR="0054152B" w:rsidRDefault="0054152B" w:rsidP="0054152B">
            <w:pPr>
              <w:rPr>
                <w:lang w:val="en-GB"/>
              </w:rPr>
            </w:pPr>
          </w:p>
          <w:p w14:paraId="3141D852" w14:textId="1742B87A" w:rsidR="00C50938" w:rsidRPr="0054152B" w:rsidRDefault="0054152B" w:rsidP="00C20BA1">
            <w:pPr>
              <w:rPr>
                <w:lang w:val="en-GB"/>
              </w:rPr>
            </w:pPr>
            <w:r w:rsidRPr="00FA5714">
              <w:rPr>
                <w:lang w:val="en-GB"/>
              </w:rPr>
              <w:t xml:space="preserve">The main innovation goal </w:t>
            </w:r>
            <w:r>
              <w:rPr>
                <w:lang w:val="en-GB"/>
              </w:rPr>
              <w:t xml:space="preserve">of the consortium is to create a technology toolbox for the biorefinery of co-products leading to the production of multi-functional, clean label ingredients for added value in food and pet food products. Both technological and health functionalities of co-products will be improved within SPRINT. Technological functionalities of co-products will be improved in terms of thickening, gelling, emulsifying, and water binding, among others. Health functionality of co-products such as digestive and gut health ( pre-/probiotic capacity, immune effects) and metabolic health (inhibition of ACE, DPPH4, among others) will be identified and improved. The improvements will be based on mild treatments with the focus on utilizing as much of the co-product as possible. The co-products within SPRINT includes potato pulp, peels, protein and </w:t>
            </w:r>
            <w:proofErr w:type="spellStart"/>
            <w:r>
              <w:rPr>
                <w:lang w:val="en-GB"/>
              </w:rPr>
              <w:t>fiber</w:t>
            </w:r>
            <w:proofErr w:type="spellEnd"/>
            <w:r>
              <w:rPr>
                <w:lang w:val="en-GB"/>
              </w:rPr>
              <w:t>, oat flour and oat hull, and dairy co-products (milk permeate concentrate and nano-filtration retentate).</w:t>
            </w:r>
          </w:p>
        </w:tc>
      </w:tr>
      <w:tr w:rsidR="00280484" w:rsidRPr="001479DD"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95DED51" w14:textId="7501387F" w:rsidR="00280484" w:rsidRPr="0054152B" w:rsidRDefault="0054152B" w:rsidP="0054152B">
            <w:pPr>
              <w:spacing w:after="7" w:line="270" w:lineRule="auto"/>
              <w:rPr>
                <w:rFonts w:eastAsia="Verdana" w:cs="Verdana"/>
                <w:lang w:val="en-US"/>
              </w:rPr>
            </w:pPr>
            <w:r>
              <w:rPr>
                <w:rFonts w:eastAsia="Verdana" w:cs="Verdana"/>
                <w:lang w:val="en-US"/>
              </w:rPr>
              <w:t xml:space="preserve">SPRINT will close the knowledge gaps and will speed up the evaluation of ingredient demand from the food and pet food manufacturers using currently available co-products from the agri-food industry. The toolbox envisaged contains among others predictive mathematic models that are validated using food and pet food model systems in combination </w:t>
            </w:r>
            <w:r>
              <w:rPr>
                <w:rFonts w:eastAsia="Verdana" w:cs="Verdana"/>
                <w:lang w:val="en-US"/>
              </w:rPr>
              <w:lastRenderedPageBreak/>
              <w:t xml:space="preserve">with new ingredients obtained from agri-food co-products, using natural and mild processing. SPRINT will develop value added consumer food and pet food products using a science driven reformulation approaches. In addition, SPRINT will also develop functionality-driven biorefineries based on combined fractionation and modification strategies (e.g. physical treatment, enzyme/fermentation technologies, membrane technology, among others). </w:t>
            </w:r>
            <w:r w:rsidRPr="008F03E6">
              <w:rPr>
                <w:rFonts w:eastAsia="Verdana" w:cs="Verdana"/>
                <w:lang w:val="en-US"/>
              </w:rPr>
              <w:t>Ultimately, the results of SPRINT will help</w:t>
            </w:r>
            <w:r>
              <w:rPr>
                <w:rFonts w:eastAsia="Verdana" w:cs="Verdana"/>
                <w:lang w:val="en-US"/>
              </w:rPr>
              <w:t xml:space="preserve"> </w:t>
            </w:r>
            <w:r w:rsidRPr="008F03E6">
              <w:rPr>
                <w:rFonts w:eastAsia="Verdana" w:cs="Verdana"/>
                <w:lang w:val="en-US"/>
              </w:rPr>
              <w:t xml:space="preserve">food </w:t>
            </w:r>
            <w:r>
              <w:rPr>
                <w:rFonts w:eastAsia="Verdana" w:cs="Verdana"/>
                <w:lang w:val="en-US"/>
              </w:rPr>
              <w:t xml:space="preserve">and pet food </w:t>
            </w:r>
            <w:r w:rsidRPr="008F03E6">
              <w:rPr>
                <w:rFonts w:eastAsia="Verdana" w:cs="Verdana"/>
                <w:lang w:val="en-US"/>
              </w:rPr>
              <w:t xml:space="preserve">manufacturers </w:t>
            </w:r>
            <w:r>
              <w:rPr>
                <w:rFonts w:eastAsia="Verdana" w:cs="Verdana"/>
                <w:lang w:val="en-US"/>
              </w:rPr>
              <w:t xml:space="preserve">to </w:t>
            </w:r>
            <w:r w:rsidRPr="008F03E6">
              <w:rPr>
                <w:rFonts w:eastAsia="Verdana" w:cs="Verdana"/>
                <w:lang w:val="en-US"/>
              </w:rPr>
              <w:t xml:space="preserve">meet the growing consumer demand for </w:t>
            </w:r>
            <w:r>
              <w:rPr>
                <w:rFonts w:eastAsia="Verdana" w:cs="Verdana"/>
                <w:lang w:val="en-US"/>
              </w:rPr>
              <w:t>minimal/less processed</w:t>
            </w:r>
            <w:r w:rsidRPr="008F03E6">
              <w:rPr>
                <w:rFonts w:eastAsia="Verdana" w:cs="Verdana"/>
                <w:lang w:val="en-US"/>
              </w:rPr>
              <w:t xml:space="preserve"> food products with improved organoleptic qualities, extended shelf li</w:t>
            </w:r>
            <w:r>
              <w:rPr>
                <w:rFonts w:eastAsia="Verdana" w:cs="Verdana"/>
                <w:lang w:val="en-US"/>
              </w:rPr>
              <w:t>fe and enhanced health benefits, and will also help the agri-food industry to develop high value application routes for their industrial co-products. Ultimately, SPRINT contributes to the realization of the total use of resources thereby addressing environmental and societal challenges.</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1479DD"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1EA4EC2A" w14:textId="77777777" w:rsidR="0054152B" w:rsidRPr="00275603" w:rsidRDefault="0054152B" w:rsidP="0054152B">
            <w:pPr>
              <w:rPr>
                <w:b/>
                <w:lang w:val="en-US"/>
              </w:rPr>
            </w:pPr>
            <w:r w:rsidRPr="00275603">
              <w:rPr>
                <w:b/>
                <w:lang w:val="en-US"/>
              </w:rPr>
              <w:t xml:space="preserve">Orientation &amp; Analysis (9 months) </w:t>
            </w:r>
            <w:r w:rsidRPr="00275603">
              <w:rPr>
                <w:lang w:val="en-US"/>
              </w:rPr>
              <w:t xml:space="preserve">started with the identification of ingredient functionality requirements and the definition of commercial benchmarks. Furthermore the availability and composition of co-products were described and technologies such as </w:t>
            </w:r>
            <w:proofErr w:type="spellStart"/>
            <w:r w:rsidRPr="00275603">
              <w:rPr>
                <w:lang w:val="en-US"/>
              </w:rPr>
              <w:t>super heated</w:t>
            </w:r>
            <w:proofErr w:type="spellEnd"/>
            <w:r w:rsidRPr="00275603">
              <w:rPr>
                <w:lang w:val="en-US"/>
              </w:rPr>
              <w:t xml:space="preserve"> steam (SHS), enzymatic modification were evaluated for modification and fractionation. Furthermore, bioactivity of potato protein was determined.</w:t>
            </w:r>
          </w:p>
          <w:p w14:paraId="3804D363" w14:textId="77777777" w:rsidR="0054152B" w:rsidRPr="00275603" w:rsidRDefault="0054152B" w:rsidP="0054152B">
            <w:pPr>
              <w:rPr>
                <w:b/>
                <w:lang w:val="en-US"/>
              </w:rPr>
            </w:pPr>
            <w:r w:rsidRPr="00275603">
              <w:rPr>
                <w:lang w:val="en-US"/>
              </w:rPr>
              <w:t>In addition, kick-off, and year end consortium meeting/workshop was made where partners interacted closely with each other along with WFBR experts</w:t>
            </w:r>
          </w:p>
          <w:p w14:paraId="0FF71B7D" w14:textId="77777777" w:rsidR="00C50938" w:rsidRPr="007C551A" w:rsidRDefault="00C50938" w:rsidP="00A460B1">
            <w:pPr>
              <w:rPr>
                <w:rFonts w:ascii="Verdana" w:hAnsi="Verdana"/>
                <w:sz w:val="18"/>
                <w:szCs w:val="18"/>
                <w:lang w:val="en-GB"/>
              </w:rPr>
            </w:pPr>
          </w:p>
          <w:p w14:paraId="15E64C0D" w14:textId="77777777" w:rsidR="00C50938" w:rsidRPr="007C551A" w:rsidRDefault="00C50938" w:rsidP="00A460B1">
            <w:pPr>
              <w:rPr>
                <w:rFonts w:ascii="Verdana" w:hAnsi="Verdana"/>
                <w:sz w:val="18"/>
                <w:szCs w:val="18"/>
                <w:lang w:val="en-GB"/>
              </w:rPr>
            </w:pPr>
          </w:p>
          <w:p w14:paraId="3F0046B2" w14:textId="77777777" w:rsidR="00C50938" w:rsidRPr="007C551A" w:rsidRDefault="00C50938" w:rsidP="00B75D93">
            <w:pPr>
              <w:rPr>
                <w:rFonts w:ascii="Verdana" w:hAnsi="Verdana" w:cs="Arial"/>
                <w:b/>
                <w:sz w:val="18"/>
                <w:szCs w:val="18"/>
                <w:lang w:val="en-GB"/>
              </w:rPr>
            </w:pPr>
          </w:p>
          <w:p w14:paraId="08A4E871" w14:textId="77777777" w:rsidR="00C50938" w:rsidRPr="007C551A" w:rsidRDefault="00C50938" w:rsidP="00B75D93">
            <w:pPr>
              <w:rPr>
                <w:rFonts w:ascii="Verdana" w:hAnsi="Verdana" w:cs="Arial"/>
                <w:b/>
                <w:sz w:val="18"/>
                <w:szCs w:val="18"/>
                <w:lang w:val="en-GB"/>
              </w:rPr>
            </w:pPr>
          </w:p>
          <w:p w14:paraId="3975FF5B" w14:textId="77777777" w:rsidR="00C50938" w:rsidRPr="007C551A" w:rsidRDefault="00C50938" w:rsidP="00B75D93">
            <w:pPr>
              <w:rPr>
                <w:rFonts w:ascii="Verdana" w:hAnsi="Verdana" w:cs="Arial"/>
                <w:b/>
                <w:sz w:val="18"/>
                <w:szCs w:val="18"/>
                <w:lang w:val="en-GB"/>
              </w:rPr>
            </w:pPr>
          </w:p>
          <w:p w14:paraId="7ED22AC2" w14:textId="77777777" w:rsidR="00C50938" w:rsidRPr="007C551A" w:rsidRDefault="00C50938" w:rsidP="00B75D93">
            <w:pPr>
              <w:rPr>
                <w:rFonts w:ascii="Verdana" w:hAnsi="Verdana" w:cs="Arial"/>
                <w:b/>
                <w:sz w:val="18"/>
                <w:szCs w:val="18"/>
                <w:lang w:val="en-GB"/>
              </w:rPr>
            </w:pPr>
          </w:p>
        </w:tc>
      </w:tr>
      <w:tr w:rsidR="00C50938" w:rsidRPr="001479DD"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582487AB" w14:textId="214CD7E7" w:rsidR="0054152B" w:rsidRPr="0054152B" w:rsidRDefault="0054152B" w:rsidP="0054152B">
            <w:pPr>
              <w:rPr>
                <w:lang w:val="en-GB"/>
              </w:rPr>
            </w:pPr>
            <w:r w:rsidRPr="0054152B">
              <w:rPr>
                <w:b/>
                <w:lang w:val="en-US"/>
              </w:rPr>
              <w:t>The</w:t>
            </w:r>
            <w:r>
              <w:rPr>
                <w:b/>
                <w:lang w:val="en-US"/>
              </w:rPr>
              <w:t xml:space="preserve"> planned results above </w:t>
            </w:r>
            <w:r w:rsidRPr="0054152B">
              <w:rPr>
                <w:b/>
                <w:lang w:val="en-US"/>
              </w:rPr>
              <w:t>are in line with the scheduled/envisioned activities for this stage of the project.</w:t>
            </w:r>
            <w:r w:rsidRPr="00F56317">
              <w:rPr>
                <w:lang w:val="en-GB"/>
              </w:rPr>
              <w:t xml:space="preserve"> </w:t>
            </w:r>
            <w:r>
              <w:rPr>
                <w:lang w:val="en-GB"/>
              </w:rPr>
              <w:t xml:space="preserve">The planned results for 2019 were achieved. Mainly this means that a working plan and strategy on how to functionalize the various co-products in the project  have been defined. In addition to the achieving the planned results in 2019. Screening of technology and functionality was also started in 2019. In the original plan, the screening will be started in 2020 (year 2). </w:t>
            </w:r>
          </w:p>
          <w:p w14:paraId="63D649DD" w14:textId="77777777" w:rsidR="00C50938" w:rsidRPr="007C551A" w:rsidRDefault="00C50938" w:rsidP="00A460B1">
            <w:pPr>
              <w:rPr>
                <w:rFonts w:ascii="Verdana" w:hAnsi="Verdana"/>
                <w:sz w:val="18"/>
                <w:szCs w:val="18"/>
                <w:lang w:val="en-GB"/>
              </w:rPr>
            </w:pPr>
          </w:p>
          <w:p w14:paraId="2EDC9A93" w14:textId="77777777" w:rsidR="00C50938" w:rsidRPr="007C551A" w:rsidRDefault="00C50938" w:rsidP="00A460B1">
            <w:pPr>
              <w:rPr>
                <w:rFonts w:ascii="Verdana" w:hAnsi="Verdana"/>
                <w:sz w:val="18"/>
                <w:szCs w:val="18"/>
                <w:lang w:val="en-GB"/>
              </w:rPr>
            </w:pPr>
          </w:p>
          <w:p w14:paraId="6022B378" w14:textId="77777777" w:rsidR="00C50938" w:rsidRPr="007C551A" w:rsidRDefault="00C50938" w:rsidP="00A460B1">
            <w:pPr>
              <w:rPr>
                <w:rFonts w:ascii="Verdana" w:hAnsi="Verdana"/>
                <w:sz w:val="18"/>
                <w:szCs w:val="18"/>
                <w:lang w:val="en-GB"/>
              </w:rPr>
            </w:pPr>
          </w:p>
          <w:p w14:paraId="2E4BFA08" w14:textId="77777777" w:rsidR="00C50938" w:rsidRPr="007C551A" w:rsidRDefault="00C50938" w:rsidP="00A460B1">
            <w:pPr>
              <w:rPr>
                <w:rFonts w:ascii="Verdana" w:hAnsi="Verdana"/>
                <w:sz w:val="18"/>
                <w:szCs w:val="18"/>
                <w:lang w:val="en-GB"/>
              </w:rPr>
            </w:pPr>
          </w:p>
        </w:tc>
      </w:tr>
      <w:tr w:rsidR="00C50938" w:rsidRPr="001479DD"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50720E3B" w14:textId="0DAC6F90" w:rsidR="00C50938" w:rsidRPr="00275603" w:rsidRDefault="0054152B" w:rsidP="00A460B1">
            <w:pPr>
              <w:rPr>
                <w:b/>
                <w:lang w:val="en-US"/>
              </w:rPr>
            </w:pPr>
            <w:r w:rsidRPr="00275603">
              <w:rPr>
                <w:b/>
                <w:lang w:val="en-US"/>
              </w:rPr>
              <w:t xml:space="preserve">Phase 2. Tool development (15 months) </w:t>
            </w:r>
            <w:r w:rsidRPr="00275603">
              <w:rPr>
                <w:lang w:val="en-US"/>
              </w:rPr>
              <w:t xml:space="preserve">continues with production of complex ingredients from co-products on lab-scale and testing their technical and/or health functionality in food and pet food model systems. By understanding the underlying phenomena on molecular or microscale, innovations can be made on product and process level. In a re-iterative approach the functionality and cost-efficiency are optimized. Tools foreseen for the food and pet food manufacturer includes methods to quantify ingredient functionality in food models and link functionality in food model to </w:t>
            </w:r>
            <w:proofErr w:type="spellStart"/>
            <w:r w:rsidRPr="00275603">
              <w:rPr>
                <w:lang w:val="en-US"/>
              </w:rPr>
              <w:t>physico</w:t>
            </w:r>
            <w:proofErr w:type="spellEnd"/>
            <w:r w:rsidRPr="00275603">
              <w:rPr>
                <w:lang w:val="en-US"/>
              </w:rPr>
              <w:t xml:space="preserve">-chemical properties of ingredients and ingredients mixtures. Furthermore, blending strategies for co-products to improve functionality will be developed. Tools foreseen for the agri-food industry include development of mathematical models and design of biorefinery processes to maintain high levels of functionality while maintaining a natural and clean label ingredient. Tools to improve the functionality of highly diluted co-products (e.g. selection of water removal and </w:t>
            </w:r>
            <w:proofErr w:type="spellStart"/>
            <w:r w:rsidRPr="00275603">
              <w:rPr>
                <w:lang w:val="en-US"/>
              </w:rPr>
              <w:t>demineralisation</w:t>
            </w:r>
            <w:proofErr w:type="spellEnd"/>
            <w:r w:rsidRPr="00275603">
              <w:rPr>
                <w:lang w:val="en-US"/>
              </w:rPr>
              <w:t xml:space="preserve"> technologies, and tools for describing viscosity and </w:t>
            </w:r>
            <w:r w:rsidRPr="00275603">
              <w:rPr>
                <w:lang w:val="en-US"/>
              </w:rPr>
              <w:lastRenderedPageBreak/>
              <w:t xml:space="preserve">osmotic pressure </w:t>
            </w:r>
            <w:proofErr w:type="spellStart"/>
            <w:r w:rsidRPr="00275603">
              <w:rPr>
                <w:lang w:val="en-US"/>
              </w:rPr>
              <w:t>behaviour</w:t>
            </w:r>
            <w:proofErr w:type="spellEnd"/>
            <w:r w:rsidRPr="00275603">
              <w:rPr>
                <w:lang w:val="en-US"/>
              </w:rPr>
              <w:t xml:space="preserve"> of biomolecules) will be developed. In addition, natural and mild treatments for the modification of co-products based on physical processes (concentration, size reduction, treatment with combined control of water activity, pressure, among others) will be identified. Available screening tools especially in relation to health functionalities will be utilized as a method to assess changes in health and technological functionality as affected by biorefinery.</w:t>
            </w: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1479DD"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77777777" w:rsidR="00C50938" w:rsidRPr="007C551A" w:rsidRDefault="00C50938" w:rsidP="002D6B68">
            <w:pPr>
              <w:rPr>
                <w:rFonts w:ascii="Verdana" w:hAnsi="Verdana" w:cs="Arial"/>
                <w:sz w:val="18"/>
                <w:szCs w:val="18"/>
                <w:u w:val="single"/>
                <w:lang w:val="en-GB"/>
              </w:rPr>
            </w:pPr>
          </w:p>
          <w:p w14:paraId="7858BFE0" w14:textId="17678847" w:rsidR="00C50938" w:rsidRPr="0054152B" w:rsidRDefault="0054152B" w:rsidP="0054152B">
            <w:pPr>
              <w:rPr>
                <w:rFonts w:ascii="Verdana" w:hAnsi="Verdana" w:cs="Arial"/>
                <w:sz w:val="18"/>
                <w:szCs w:val="18"/>
                <w:lang w:val="en-GB"/>
              </w:rPr>
            </w:pPr>
            <w:r>
              <w:rPr>
                <w:rFonts w:ascii="Verdana" w:hAnsi="Verdana" w:cs="Arial"/>
                <w:sz w:val="18"/>
                <w:szCs w:val="18"/>
                <w:lang w:val="en-GB"/>
              </w:rPr>
              <w:t>none</w:t>
            </w:r>
          </w:p>
          <w:p w14:paraId="7FC5E331" w14:textId="77777777" w:rsidR="00C50938" w:rsidRPr="007C551A" w:rsidRDefault="00C50938" w:rsidP="002D6B68">
            <w:pPr>
              <w:rPr>
                <w:rFonts w:ascii="Verdana" w:hAnsi="Verdana" w:cs="Arial"/>
                <w:sz w:val="18"/>
                <w:szCs w:val="18"/>
                <w:u w:val="single"/>
                <w:lang w:val="en-GB"/>
              </w:rPr>
            </w:pPr>
          </w:p>
          <w:p w14:paraId="65A9C184" w14:textId="77777777" w:rsidR="00C50938" w:rsidRPr="007C551A" w:rsidRDefault="00C50938" w:rsidP="002D6B68">
            <w:pPr>
              <w:rPr>
                <w:rFonts w:ascii="Verdana" w:hAnsi="Verdana" w:cs="Arial"/>
                <w:sz w:val="18"/>
                <w:szCs w:val="18"/>
                <w:u w:val="single"/>
                <w:lang w:val="en-GB"/>
              </w:rPr>
            </w:pPr>
          </w:p>
          <w:p w14:paraId="3C71C264" w14:textId="77777777" w:rsidR="00D9283F" w:rsidRPr="007C551A" w:rsidRDefault="00D9283F" w:rsidP="00C50938">
            <w:pPr>
              <w:rPr>
                <w:rFonts w:ascii="Verdana" w:hAnsi="Verdana" w:cs="Arial"/>
                <w:sz w:val="18"/>
                <w:szCs w:val="18"/>
                <w:lang w:val="en-GB"/>
              </w:rPr>
            </w:pPr>
          </w:p>
        </w:tc>
      </w:tr>
      <w:tr w:rsidR="00C50938" w:rsidRPr="007C551A"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514975F" w14:textId="77777777" w:rsidR="00C50938" w:rsidRPr="007C551A" w:rsidRDefault="00C50938" w:rsidP="00C50938">
            <w:pPr>
              <w:rPr>
                <w:rFonts w:ascii="Verdana" w:hAnsi="Verdana" w:cs="Arial"/>
                <w:sz w:val="18"/>
                <w:szCs w:val="18"/>
                <w:u w:val="single"/>
                <w:lang w:val="en-GB"/>
              </w:rPr>
            </w:pPr>
          </w:p>
          <w:p w14:paraId="42000103" w14:textId="4B8F3C4C" w:rsidR="00C50938" w:rsidRPr="0054152B" w:rsidRDefault="0054152B" w:rsidP="00C50938">
            <w:pPr>
              <w:rPr>
                <w:rFonts w:ascii="Verdana" w:hAnsi="Verdana" w:cs="Arial"/>
                <w:sz w:val="18"/>
                <w:szCs w:val="18"/>
                <w:lang w:val="en-GB"/>
              </w:rPr>
            </w:pPr>
            <w:r w:rsidRPr="0054152B">
              <w:rPr>
                <w:rFonts w:ascii="Verdana" w:hAnsi="Verdana" w:cs="Arial"/>
                <w:sz w:val="18"/>
                <w:szCs w:val="18"/>
                <w:lang w:val="en-GB"/>
              </w:rPr>
              <w:t>none</w:t>
            </w:r>
          </w:p>
          <w:p w14:paraId="1533A057" w14:textId="77777777" w:rsidR="00C50938" w:rsidRPr="007C551A" w:rsidRDefault="00C50938" w:rsidP="00C50938">
            <w:pPr>
              <w:rPr>
                <w:rFonts w:ascii="Verdana" w:hAnsi="Verdana" w:cs="Arial"/>
                <w:sz w:val="18"/>
                <w:szCs w:val="18"/>
                <w:u w:val="single"/>
                <w:lang w:val="en-GB"/>
              </w:rPr>
            </w:pPr>
          </w:p>
          <w:p w14:paraId="789AF1AF" w14:textId="77777777" w:rsidR="00C50938" w:rsidRPr="007C551A" w:rsidRDefault="00C50938" w:rsidP="00C50938">
            <w:pPr>
              <w:rPr>
                <w:rFonts w:ascii="Verdana" w:hAnsi="Verdana" w:cs="Arial"/>
                <w:sz w:val="18"/>
                <w:szCs w:val="18"/>
                <w:u w:val="single"/>
                <w:lang w:val="en-GB"/>
              </w:rPr>
            </w:pPr>
          </w:p>
          <w:p w14:paraId="6B36BCBC" w14:textId="77777777" w:rsidR="00C50938" w:rsidRPr="007C551A" w:rsidRDefault="00C50938" w:rsidP="002D6B68">
            <w:pPr>
              <w:rPr>
                <w:rFonts w:ascii="Verdana" w:hAnsi="Verdana" w:cs="Arial"/>
                <w:sz w:val="18"/>
                <w:szCs w:val="18"/>
                <w:lang w:val="en-GB"/>
              </w:rPr>
            </w:pPr>
          </w:p>
        </w:tc>
      </w:tr>
      <w:tr w:rsidR="00C50938" w:rsidRPr="004C7912"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17E6E415" w14:textId="77777777" w:rsidR="00C50938" w:rsidRPr="007C551A" w:rsidRDefault="00C50938" w:rsidP="00C50938">
            <w:pPr>
              <w:rPr>
                <w:rFonts w:ascii="Verdana" w:hAnsi="Verdana" w:cs="Arial"/>
                <w:sz w:val="18"/>
                <w:szCs w:val="18"/>
                <w:u w:val="single"/>
                <w:lang w:val="en-GB"/>
              </w:rPr>
            </w:pPr>
          </w:p>
          <w:p w14:paraId="0FC8A6D0" w14:textId="77777777" w:rsidR="00C50938" w:rsidRPr="007C551A" w:rsidRDefault="00C50938" w:rsidP="00C50938">
            <w:pPr>
              <w:rPr>
                <w:rFonts w:ascii="Verdana" w:hAnsi="Verdana" w:cs="Arial"/>
                <w:sz w:val="18"/>
                <w:szCs w:val="18"/>
                <w:u w:val="single"/>
                <w:lang w:val="en-GB"/>
              </w:rPr>
            </w:pPr>
          </w:p>
          <w:p w14:paraId="1FB44159" w14:textId="18728D9E" w:rsidR="00C50938" w:rsidRPr="0054152B" w:rsidRDefault="0054152B" w:rsidP="00C50938">
            <w:pPr>
              <w:rPr>
                <w:rFonts w:ascii="Verdana" w:hAnsi="Verdana" w:cs="Arial"/>
                <w:i/>
                <w:sz w:val="18"/>
                <w:szCs w:val="18"/>
                <w:lang w:val="en-GB"/>
              </w:rPr>
            </w:pPr>
            <w:r w:rsidRPr="0054152B">
              <w:rPr>
                <w:rFonts w:ascii="Verdana" w:hAnsi="Verdana" w:cs="Arial"/>
                <w:i/>
                <w:sz w:val="18"/>
                <w:szCs w:val="18"/>
                <w:lang w:val="en-GB"/>
              </w:rPr>
              <w:t>none</w:t>
            </w:r>
          </w:p>
          <w:p w14:paraId="613BA741" w14:textId="77777777" w:rsidR="00C50938" w:rsidRPr="007C551A" w:rsidRDefault="00C50938" w:rsidP="00C50938">
            <w:pPr>
              <w:rPr>
                <w:rFonts w:ascii="Verdana" w:hAnsi="Verdana" w:cs="Arial"/>
                <w:sz w:val="18"/>
                <w:szCs w:val="18"/>
                <w:u w:val="single"/>
                <w:lang w:val="en-GB"/>
              </w:rPr>
            </w:pPr>
          </w:p>
          <w:p w14:paraId="488C6418" w14:textId="77777777" w:rsidR="00C50938" w:rsidRPr="007C551A" w:rsidRDefault="00C50938" w:rsidP="002D6B68">
            <w:pPr>
              <w:rPr>
                <w:rFonts w:ascii="Verdana" w:hAnsi="Verdana" w:cs="Arial"/>
                <w:sz w:val="18"/>
                <w:szCs w:val="18"/>
                <w:lang w:val="en-GB"/>
              </w:rPr>
            </w:pPr>
          </w:p>
        </w:tc>
      </w:tr>
      <w:tr w:rsidR="00C50938" w:rsidRPr="004C7912"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349D2E8" w14:textId="77777777" w:rsidR="00C50938" w:rsidRPr="007C551A" w:rsidRDefault="00C50938" w:rsidP="00C50938">
            <w:pPr>
              <w:rPr>
                <w:rFonts w:ascii="Verdana" w:hAnsi="Verdana" w:cs="Arial"/>
                <w:sz w:val="18"/>
                <w:szCs w:val="18"/>
                <w:u w:val="single"/>
                <w:lang w:val="en-GB"/>
              </w:rPr>
            </w:pPr>
          </w:p>
          <w:p w14:paraId="522CF814" w14:textId="77777777" w:rsidR="00C50938" w:rsidRPr="007C551A" w:rsidRDefault="00C50938" w:rsidP="00C50938">
            <w:pPr>
              <w:rPr>
                <w:rFonts w:ascii="Verdana" w:hAnsi="Verdana" w:cs="Arial"/>
                <w:sz w:val="18"/>
                <w:szCs w:val="18"/>
                <w:u w:val="single"/>
                <w:lang w:val="en-GB"/>
              </w:rPr>
            </w:pPr>
          </w:p>
          <w:p w14:paraId="22360364" w14:textId="68B6D46F" w:rsidR="00C50938" w:rsidRPr="0054152B" w:rsidRDefault="00D55C3E" w:rsidP="00C50938">
            <w:pPr>
              <w:rPr>
                <w:rFonts w:ascii="Verdana" w:hAnsi="Verdana" w:cs="Arial"/>
                <w:sz w:val="18"/>
                <w:szCs w:val="18"/>
                <w:lang w:val="en-GB"/>
              </w:rPr>
            </w:pPr>
            <w:r>
              <w:rPr>
                <w:rFonts w:ascii="Verdana" w:hAnsi="Verdana" w:cs="Arial"/>
                <w:sz w:val="18"/>
                <w:szCs w:val="18"/>
                <w:lang w:val="en-GB"/>
              </w:rPr>
              <w:t>none</w:t>
            </w:r>
          </w:p>
          <w:p w14:paraId="0D2CCAEE" w14:textId="77777777" w:rsidR="00C50938" w:rsidRPr="007C551A" w:rsidRDefault="00C50938" w:rsidP="00C50938">
            <w:pPr>
              <w:rPr>
                <w:rFonts w:ascii="Verdana" w:hAnsi="Verdana" w:cs="Arial"/>
                <w:sz w:val="18"/>
                <w:szCs w:val="18"/>
                <w:u w:val="single"/>
                <w:lang w:val="en-GB"/>
              </w:rPr>
            </w:pPr>
          </w:p>
          <w:p w14:paraId="0A71B766" w14:textId="77777777" w:rsidR="00C50938" w:rsidRPr="007C551A" w:rsidRDefault="00C50938" w:rsidP="002D6B68">
            <w:pPr>
              <w:rPr>
                <w:rFonts w:ascii="Verdana" w:hAnsi="Verdana" w:cs="Arial"/>
                <w:sz w:val="18"/>
                <w:szCs w:val="18"/>
                <w:lang w:val="en-GB"/>
              </w:rPr>
            </w:pPr>
          </w:p>
        </w:tc>
      </w:tr>
      <w:tr w:rsidR="00C50938" w:rsidRPr="004C7912"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32DC42C" w14:textId="77777777" w:rsidR="00C50938" w:rsidRPr="007C551A" w:rsidRDefault="00C50938" w:rsidP="00C50938">
            <w:pPr>
              <w:rPr>
                <w:rFonts w:ascii="Verdana" w:hAnsi="Verdana" w:cs="Arial"/>
                <w:sz w:val="18"/>
                <w:szCs w:val="18"/>
                <w:u w:val="single"/>
                <w:lang w:val="en-GB"/>
              </w:rPr>
            </w:pPr>
          </w:p>
          <w:p w14:paraId="6DCBA991" w14:textId="77777777" w:rsidR="00C50938" w:rsidRPr="007C551A" w:rsidRDefault="00C50938" w:rsidP="00C50938">
            <w:pPr>
              <w:rPr>
                <w:rFonts w:ascii="Verdana" w:hAnsi="Verdana" w:cs="Arial"/>
                <w:sz w:val="18"/>
                <w:szCs w:val="18"/>
                <w:u w:val="single"/>
                <w:lang w:val="en-GB"/>
              </w:rPr>
            </w:pPr>
          </w:p>
          <w:p w14:paraId="39351ADC" w14:textId="45DB1488" w:rsidR="00C50938" w:rsidRPr="00D55C3E" w:rsidRDefault="00D55C3E" w:rsidP="00C50938">
            <w:pPr>
              <w:rPr>
                <w:rFonts w:ascii="Verdana" w:hAnsi="Verdana" w:cs="Arial"/>
                <w:sz w:val="18"/>
                <w:szCs w:val="18"/>
                <w:lang w:val="en-GB"/>
              </w:rPr>
            </w:pPr>
            <w:r w:rsidRPr="00D55C3E">
              <w:rPr>
                <w:rFonts w:ascii="Verdana" w:hAnsi="Verdana" w:cs="Arial"/>
                <w:sz w:val="18"/>
                <w:szCs w:val="18"/>
                <w:lang w:val="en-GB"/>
              </w:rPr>
              <w:t>none</w:t>
            </w:r>
          </w:p>
          <w:p w14:paraId="45543513" w14:textId="77777777" w:rsidR="00C50938" w:rsidRPr="007C551A" w:rsidRDefault="00C50938" w:rsidP="00C50938">
            <w:pPr>
              <w:rPr>
                <w:rFonts w:ascii="Verdana" w:hAnsi="Verdana" w:cs="Arial"/>
                <w:sz w:val="18"/>
                <w:szCs w:val="18"/>
                <w:u w:val="single"/>
                <w:lang w:val="en-GB"/>
              </w:rPr>
            </w:pPr>
          </w:p>
          <w:p w14:paraId="4A84FADC" w14:textId="77777777" w:rsidR="00C50938" w:rsidRPr="007C551A" w:rsidRDefault="00C50938" w:rsidP="00C50938">
            <w:pPr>
              <w:rPr>
                <w:rFonts w:ascii="Verdana" w:hAnsi="Verdana" w:cs="Arial"/>
                <w:sz w:val="18"/>
                <w:szCs w:val="18"/>
                <w:u w:val="single"/>
                <w:lang w:val="en-GB"/>
              </w:rPr>
            </w:pPr>
          </w:p>
          <w:p w14:paraId="6A98A568" w14:textId="77777777" w:rsidR="00C50938" w:rsidRPr="007C551A" w:rsidRDefault="00C50938" w:rsidP="002D6B68">
            <w:pPr>
              <w:rPr>
                <w:rFonts w:ascii="Verdana" w:hAnsi="Verdana" w:cs="Arial"/>
                <w:sz w:val="18"/>
                <w:szCs w:val="18"/>
                <w:lang w:val="en-GB"/>
              </w:rPr>
            </w:pPr>
          </w:p>
        </w:tc>
      </w:tr>
      <w:tr w:rsidR="00C50938" w:rsidRPr="001479DD"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1160AAF3" w14:textId="77777777" w:rsidR="00A61ABC" w:rsidRPr="007C551A" w:rsidRDefault="00A61ABC" w:rsidP="002D6B68">
            <w:pPr>
              <w:rPr>
                <w:rFonts w:ascii="Verdana" w:hAnsi="Verdana" w:cs="Arial"/>
                <w:sz w:val="18"/>
                <w:szCs w:val="18"/>
                <w:u w:val="single"/>
                <w:lang w:val="en-GB"/>
              </w:rPr>
            </w:pPr>
          </w:p>
          <w:p w14:paraId="5136F749" w14:textId="77777777" w:rsidR="00D55C3E" w:rsidRDefault="00D55C3E" w:rsidP="002D6B68">
            <w:pPr>
              <w:rPr>
                <w:rFonts w:ascii="Verdana" w:hAnsi="Verdana" w:cs="Arial"/>
                <w:sz w:val="18"/>
                <w:szCs w:val="18"/>
                <w:lang w:val="en-GB"/>
              </w:rPr>
            </w:pPr>
            <w:r>
              <w:rPr>
                <w:rFonts w:ascii="Verdana" w:hAnsi="Verdana" w:cs="Arial"/>
                <w:sz w:val="18"/>
                <w:szCs w:val="18"/>
                <w:lang w:val="en-GB"/>
              </w:rPr>
              <w:t xml:space="preserve">In 2019, the main deliverable of the project is to define a way of working and approach for functionalizing side-streams. In 2019, literature review, development of analytical methods that will be used for functionalization, inventory of clean label technologies were made. </w:t>
            </w:r>
          </w:p>
          <w:p w14:paraId="1AA2DE97" w14:textId="77777777" w:rsidR="00D55C3E" w:rsidRDefault="00D55C3E" w:rsidP="002D6B68">
            <w:pPr>
              <w:rPr>
                <w:rFonts w:ascii="Verdana" w:hAnsi="Verdana" w:cs="Arial"/>
                <w:sz w:val="18"/>
                <w:szCs w:val="18"/>
                <w:lang w:val="en-GB"/>
              </w:rPr>
            </w:pPr>
          </w:p>
          <w:p w14:paraId="66D22E8A" w14:textId="35BF4CC2" w:rsidR="00D55C3E" w:rsidRDefault="00D55C3E" w:rsidP="002D6B68">
            <w:pPr>
              <w:rPr>
                <w:rFonts w:ascii="Verdana" w:hAnsi="Verdana" w:cs="Arial"/>
                <w:sz w:val="18"/>
                <w:szCs w:val="18"/>
                <w:lang w:val="en-GB"/>
              </w:rPr>
            </w:pPr>
            <w:r>
              <w:rPr>
                <w:rFonts w:ascii="Verdana" w:hAnsi="Verdana" w:cs="Arial"/>
                <w:sz w:val="18"/>
                <w:szCs w:val="18"/>
                <w:lang w:val="en-GB"/>
              </w:rPr>
              <w:t>The first year of the project focused on orientation and analysis of the required functionalities for specific end products. These were identified together with the partners.</w:t>
            </w:r>
          </w:p>
          <w:p w14:paraId="06F08F5D" w14:textId="55B890F1" w:rsidR="00D55C3E" w:rsidRDefault="00D55C3E" w:rsidP="002D6B68">
            <w:pPr>
              <w:rPr>
                <w:rFonts w:ascii="Verdana" w:hAnsi="Verdana" w:cs="Arial"/>
                <w:sz w:val="18"/>
                <w:szCs w:val="18"/>
                <w:lang w:val="en-GB"/>
              </w:rPr>
            </w:pPr>
          </w:p>
          <w:p w14:paraId="2CADD15A" w14:textId="77777777" w:rsidR="00D55C3E" w:rsidRDefault="00D55C3E" w:rsidP="002D6B68">
            <w:pPr>
              <w:rPr>
                <w:rFonts w:ascii="Verdana" w:hAnsi="Verdana" w:cs="Arial"/>
                <w:sz w:val="18"/>
                <w:szCs w:val="18"/>
                <w:lang w:val="en-GB"/>
              </w:rPr>
            </w:pPr>
            <w:r>
              <w:rPr>
                <w:rFonts w:ascii="Verdana" w:hAnsi="Verdana" w:cs="Arial"/>
                <w:sz w:val="18"/>
                <w:szCs w:val="18"/>
                <w:lang w:val="en-GB"/>
              </w:rPr>
              <w:t xml:space="preserve">In 2019, initial screening for the </w:t>
            </w:r>
            <w:proofErr w:type="spellStart"/>
            <w:r>
              <w:rPr>
                <w:rFonts w:ascii="Verdana" w:hAnsi="Verdana" w:cs="Arial"/>
                <w:sz w:val="18"/>
                <w:szCs w:val="18"/>
                <w:lang w:val="en-GB"/>
              </w:rPr>
              <w:t>biofunctionality</w:t>
            </w:r>
            <w:proofErr w:type="spellEnd"/>
            <w:r>
              <w:rPr>
                <w:rFonts w:ascii="Verdana" w:hAnsi="Verdana" w:cs="Arial"/>
                <w:sz w:val="18"/>
                <w:szCs w:val="18"/>
                <w:lang w:val="en-GB"/>
              </w:rPr>
              <w:t xml:space="preserve"> of potato protein were made. Promising results were obtained. </w:t>
            </w:r>
          </w:p>
          <w:p w14:paraId="30E9AB37" w14:textId="77777777" w:rsidR="00D55C3E" w:rsidRDefault="00D55C3E" w:rsidP="002D6B68">
            <w:pPr>
              <w:rPr>
                <w:rFonts w:ascii="Verdana" w:hAnsi="Verdana" w:cs="Arial"/>
                <w:sz w:val="18"/>
                <w:szCs w:val="18"/>
                <w:lang w:val="en-GB"/>
              </w:rPr>
            </w:pPr>
          </w:p>
          <w:p w14:paraId="249D4332" w14:textId="0F5A1914" w:rsidR="00D55C3E" w:rsidRDefault="00D55C3E" w:rsidP="002D6B68">
            <w:pPr>
              <w:rPr>
                <w:rFonts w:ascii="Verdana" w:hAnsi="Verdana" w:cs="Arial"/>
                <w:sz w:val="18"/>
                <w:szCs w:val="18"/>
                <w:lang w:val="en-GB"/>
              </w:rPr>
            </w:pPr>
            <w:r>
              <w:rPr>
                <w:rFonts w:ascii="Verdana" w:hAnsi="Verdana" w:cs="Arial"/>
                <w:sz w:val="18"/>
                <w:szCs w:val="18"/>
                <w:lang w:val="en-GB"/>
              </w:rPr>
              <w:t xml:space="preserve">Additionally, evaluation of processing technologies such as </w:t>
            </w:r>
            <w:proofErr w:type="spellStart"/>
            <w:r>
              <w:rPr>
                <w:rFonts w:ascii="Verdana" w:hAnsi="Verdana" w:cs="Arial"/>
                <w:sz w:val="18"/>
                <w:szCs w:val="18"/>
                <w:lang w:val="en-GB"/>
              </w:rPr>
              <w:t>super heated</w:t>
            </w:r>
            <w:proofErr w:type="spellEnd"/>
            <w:r>
              <w:rPr>
                <w:rFonts w:ascii="Verdana" w:hAnsi="Verdana" w:cs="Arial"/>
                <w:sz w:val="18"/>
                <w:szCs w:val="18"/>
                <w:lang w:val="en-GB"/>
              </w:rPr>
              <w:t xml:space="preserve"> steam (SHS) and enzymatic modification and their combinations were made. Oat hull, Potato peel and Potato </w:t>
            </w:r>
            <w:proofErr w:type="spellStart"/>
            <w:r>
              <w:rPr>
                <w:rFonts w:ascii="Verdana" w:hAnsi="Verdana" w:cs="Arial"/>
                <w:sz w:val="18"/>
                <w:szCs w:val="18"/>
                <w:lang w:val="en-GB"/>
              </w:rPr>
              <w:t>fiber</w:t>
            </w:r>
            <w:proofErr w:type="spellEnd"/>
            <w:r>
              <w:rPr>
                <w:rFonts w:ascii="Verdana" w:hAnsi="Verdana" w:cs="Arial"/>
                <w:sz w:val="18"/>
                <w:szCs w:val="18"/>
                <w:lang w:val="en-GB"/>
              </w:rPr>
              <w:t xml:space="preserve"> were subjected to SHS. The changes in functionality and the sugar composition of the solubilized material have been characterized.</w:t>
            </w:r>
          </w:p>
          <w:p w14:paraId="0E80BB4E" w14:textId="77777777" w:rsidR="00D55C3E" w:rsidRDefault="00D55C3E" w:rsidP="002D6B68">
            <w:pPr>
              <w:rPr>
                <w:rFonts w:ascii="Verdana" w:hAnsi="Verdana" w:cs="Arial"/>
                <w:sz w:val="18"/>
                <w:szCs w:val="18"/>
                <w:lang w:val="en-GB"/>
              </w:rPr>
            </w:pPr>
          </w:p>
          <w:p w14:paraId="4BB65F07" w14:textId="7B9E6B29" w:rsidR="00D55C3E" w:rsidRDefault="00D55C3E" w:rsidP="002D6B68">
            <w:pPr>
              <w:rPr>
                <w:rFonts w:ascii="Verdana" w:hAnsi="Verdana" w:cs="Arial"/>
                <w:sz w:val="18"/>
                <w:szCs w:val="18"/>
                <w:lang w:val="en-GB"/>
              </w:rPr>
            </w:pPr>
            <w:r>
              <w:rPr>
                <w:rFonts w:ascii="Verdana" w:hAnsi="Verdana" w:cs="Arial"/>
                <w:sz w:val="18"/>
                <w:szCs w:val="18"/>
                <w:lang w:val="en-GB"/>
              </w:rPr>
              <w:t xml:space="preserve">Additionally, work on </w:t>
            </w:r>
            <w:proofErr w:type="spellStart"/>
            <w:r>
              <w:rPr>
                <w:rFonts w:ascii="Verdana" w:hAnsi="Verdana" w:cs="Arial"/>
                <w:sz w:val="18"/>
                <w:szCs w:val="18"/>
                <w:lang w:val="en-GB"/>
              </w:rPr>
              <w:t>valorization</w:t>
            </w:r>
            <w:proofErr w:type="spellEnd"/>
            <w:r>
              <w:rPr>
                <w:rFonts w:ascii="Verdana" w:hAnsi="Verdana" w:cs="Arial"/>
                <w:sz w:val="18"/>
                <w:szCs w:val="18"/>
                <w:lang w:val="en-GB"/>
              </w:rPr>
              <w:t xml:space="preserve"> of co-products from the dairy industry has started using fermentation to achieves specific technical functionality (e.g. thickening, taste enhancing, among others).</w:t>
            </w:r>
          </w:p>
          <w:p w14:paraId="0781FD35" w14:textId="20DB90BB" w:rsidR="00D55C3E" w:rsidRDefault="00D55C3E" w:rsidP="002D6B68">
            <w:pPr>
              <w:rPr>
                <w:rFonts w:ascii="Verdana" w:hAnsi="Verdana" w:cs="Arial"/>
                <w:sz w:val="18"/>
                <w:szCs w:val="18"/>
                <w:lang w:val="en-GB"/>
              </w:rPr>
            </w:pPr>
          </w:p>
          <w:p w14:paraId="224C0B6F" w14:textId="626F3775" w:rsidR="00D55C3E" w:rsidRPr="00D55C3E" w:rsidRDefault="00D55C3E" w:rsidP="002D6B68">
            <w:pPr>
              <w:rPr>
                <w:rFonts w:ascii="Verdana" w:hAnsi="Verdana" w:cs="Arial"/>
                <w:sz w:val="18"/>
                <w:szCs w:val="18"/>
                <w:lang w:val="en-GB"/>
              </w:rPr>
            </w:pPr>
            <w:r>
              <w:rPr>
                <w:rFonts w:ascii="Verdana" w:hAnsi="Verdana" w:cs="Arial"/>
                <w:sz w:val="18"/>
                <w:szCs w:val="18"/>
                <w:lang w:val="en-GB"/>
              </w:rPr>
              <w:lastRenderedPageBreak/>
              <w:t>A mid-year and an end year consortium meeting was held on top of monthly meetings. The consortium partners are very much involved and active in the PPS SPRINT.</w:t>
            </w:r>
          </w:p>
          <w:p w14:paraId="1D88EE5E" w14:textId="77777777" w:rsidR="00A61ABC" w:rsidRPr="007C551A" w:rsidRDefault="00A61ABC" w:rsidP="002D6B68">
            <w:pPr>
              <w:rPr>
                <w:rFonts w:ascii="Verdana" w:hAnsi="Verdana" w:cs="Arial"/>
                <w:sz w:val="18"/>
                <w:szCs w:val="18"/>
                <w:u w:val="single"/>
                <w:lang w:val="en-GB"/>
              </w:rPr>
            </w:pPr>
          </w:p>
          <w:p w14:paraId="292D49E4" w14:textId="77777777" w:rsidR="00A61ABC" w:rsidRPr="007C551A" w:rsidRDefault="00A61ABC" w:rsidP="002D6B68">
            <w:pPr>
              <w:rPr>
                <w:rFonts w:ascii="Verdana" w:hAnsi="Verdana" w:cs="Arial"/>
                <w:sz w:val="18"/>
                <w:szCs w:val="18"/>
                <w:u w:val="single"/>
                <w:lang w:val="en-GB"/>
              </w:rPr>
            </w:pPr>
          </w:p>
          <w:p w14:paraId="49787D14" w14:textId="77777777" w:rsidR="00A61ABC" w:rsidRPr="007C551A" w:rsidRDefault="00A61ABC" w:rsidP="002D6B68">
            <w:pPr>
              <w:rPr>
                <w:rFonts w:ascii="Verdana" w:hAnsi="Verdana" w:cs="Arial"/>
                <w:sz w:val="18"/>
                <w:szCs w:val="18"/>
                <w:u w:val="single"/>
                <w:lang w:val="en-GB"/>
              </w:rPr>
            </w:pPr>
          </w:p>
        </w:tc>
      </w:tr>
    </w:tbl>
    <w:p w14:paraId="327B6581" w14:textId="77777777" w:rsidR="004877A0" w:rsidRPr="007C551A" w:rsidRDefault="004877A0" w:rsidP="003D5216">
      <w:pPr>
        <w:rPr>
          <w:rFonts w:ascii="Verdana" w:hAnsi="Verdana" w:cs="Arial"/>
          <w:sz w:val="18"/>
          <w:szCs w:val="18"/>
          <w:lang w:val="en-GB"/>
        </w:rPr>
      </w:pPr>
    </w:p>
    <w:bookmarkEnd w:id="6"/>
    <w:p w14:paraId="42F1E1E0" w14:textId="77777777" w:rsidR="003F680E" w:rsidRPr="007C551A" w:rsidRDefault="003F680E" w:rsidP="00C215CF">
      <w:pPr>
        <w:rPr>
          <w:rFonts w:ascii="Verdana" w:hAnsi="Verdana" w:cs="Arial"/>
          <w:sz w:val="18"/>
          <w:szCs w:val="18"/>
          <w:lang w:val="en-GB"/>
        </w:rPr>
      </w:pPr>
    </w:p>
    <w:p w14:paraId="54732A50" w14:textId="77777777" w:rsidR="00C215CF" w:rsidRPr="007C551A" w:rsidRDefault="00C215CF" w:rsidP="00C215CF">
      <w:pPr>
        <w:rPr>
          <w:rFonts w:ascii="Verdana" w:hAnsi="Verdana" w:cs="Arial"/>
          <w:sz w:val="18"/>
          <w:szCs w:val="18"/>
          <w:lang w:val="en-GB"/>
        </w:rPr>
      </w:pPr>
    </w:p>
    <w:p w14:paraId="612B1408" w14:textId="77777777" w:rsidR="00424B1F" w:rsidRPr="007C551A" w:rsidRDefault="00424B1F" w:rsidP="00424B1F">
      <w:pPr>
        <w:ind w:left="360" w:hanging="180"/>
        <w:rPr>
          <w:rFonts w:ascii="Verdana" w:hAnsi="Verdana" w:cs="Arial"/>
          <w:sz w:val="18"/>
          <w:szCs w:val="18"/>
          <w:lang w:val="en-GB"/>
        </w:rPr>
      </w:pPr>
    </w:p>
    <w:p w14:paraId="4CAC4FFF" w14:textId="77777777" w:rsidR="00B406BC" w:rsidRPr="007C551A" w:rsidRDefault="00B406BC" w:rsidP="00573F99">
      <w:pPr>
        <w:rPr>
          <w:rFonts w:ascii="Verdana" w:hAnsi="Verdana"/>
          <w:lang w:val="en-GB"/>
        </w:rPr>
      </w:pPr>
    </w:p>
    <w:p w14:paraId="0985C25B" w14:textId="77777777" w:rsidR="00B406BC" w:rsidRPr="007C551A" w:rsidRDefault="00B406BC" w:rsidP="00573F99">
      <w:pPr>
        <w:rPr>
          <w:rFonts w:ascii="Verdana" w:hAnsi="Verdana"/>
          <w:lang w:val="en-GB"/>
        </w:rPr>
      </w:pPr>
    </w:p>
    <w:p w14:paraId="6B7DD2EE" w14:textId="77777777" w:rsidR="00B406BC" w:rsidRPr="007C551A" w:rsidRDefault="00B406BC" w:rsidP="00573F99">
      <w:pPr>
        <w:rPr>
          <w:rFonts w:ascii="Verdana" w:hAnsi="Verdana"/>
          <w:lang w:val="en-GB"/>
        </w:rPr>
      </w:pPr>
    </w:p>
    <w:p w14:paraId="5511E54D"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4C0F" w14:textId="77777777" w:rsidR="00561C9D" w:rsidRDefault="00561C9D">
      <w:r>
        <w:separator/>
      </w:r>
    </w:p>
  </w:endnote>
  <w:endnote w:type="continuationSeparator" w:id="0">
    <w:p w14:paraId="7A088B7E" w14:textId="77777777" w:rsidR="00561C9D" w:rsidRDefault="0056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1B490" w14:textId="77777777" w:rsidR="00561C9D" w:rsidRDefault="00561C9D">
      <w:r>
        <w:separator/>
      </w:r>
    </w:p>
  </w:footnote>
  <w:footnote w:type="continuationSeparator" w:id="0">
    <w:p w14:paraId="3B160DE0" w14:textId="77777777" w:rsidR="00561C9D" w:rsidRDefault="0056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74721"/>
    <w:multiLevelType w:val="hybridMultilevel"/>
    <w:tmpl w:val="F1C49DA0"/>
    <w:lvl w:ilvl="0" w:tplc="D940F5C4">
      <w:start w:val="1"/>
      <w:numFmt w:val="bullet"/>
      <w:lvlText w:val="-"/>
      <w:lvlJc w:val="left"/>
      <w:pPr>
        <w:ind w:left="2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6"/>
  </w:num>
  <w:num w:numId="4">
    <w:abstractNumId w:val="7"/>
  </w:num>
  <w:num w:numId="5">
    <w:abstractNumId w:val="18"/>
  </w:num>
  <w:num w:numId="6">
    <w:abstractNumId w:val="16"/>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5"/>
  </w:num>
  <w:num w:numId="17">
    <w:abstractNumId w:val="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8124E"/>
    <w:rsid w:val="00084783"/>
    <w:rsid w:val="000B15FC"/>
    <w:rsid w:val="000B4EE7"/>
    <w:rsid w:val="000D0050"/>
    <w:rsid w:val="000D700A"/>
    <w:rsid w:val="00104650"/>
    <w:rsid w:val="00111FEC"/>
    <w:rsid w:val="00126FEE"/>
    <w:rsid w:val="00140695"/>
    <w:rsid w:val="00143BF4"/>
    <w:rsid w:val="001479DD"/>
    <w:rsid w:val="0017000E"/>
    <w:rsid w:val="00194B91"/>
    <w:rsid w:val="001B7013"/>
    <w:rsid w:val="001D3D10"/>
    <w:rsid w:val="001D446E"/>
    <w:rsid w:val="001E5F19"/>
    <w:rsid w:val="001F1683"/>
    <w:rsid w:val="002044CC"/>
    <w:rsid w:val="00205AB3"/>
    <w:rsid w:val="00210164"/>
    <w:rsid w:val="00245255"/>
    <w:rsid w:val="00275603"/>
    <w:rsid w:val="00280484"/>
    <w:rsid w:val="002866C7"/>
    <w:rsid w:val="00296299"/>
    <w:rsid w:val="002A6C02"/>
    <w:rsid w:val="002D28C7"/>
    <w:rsid w:val="002D6B68"/>
    <w:rsid w:val="002F6082"/>
    <w:rsid w:val="00306D8F"/>
    <w:rsid w:val="00347768"/>
    <w:rsid w:val="00361BED"/>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C7912"/>
    <w:rsid w:val="004D2FCA"/>
    <w:rsid w:val="004D3DC6"/>
    <w:rsid w:val="004D7880"/>
    <w:rsid w:val="00502949"/>
    <w:rsid w:val="00516F00"/>
    <w:rsid w:val="0052278C"/>
    <w:rsid w:val="00523F64"/>
    <w:rsid w:val="005356A9"/>
    <w:rsid w:val="00540F85"/>
    <w:rsid w:val="0054152B"/>
    <w:rsid w:val="00543A4D"/>
    <w:rsid w:val="0056098D"/>
    <w:rsid w:val="00561C9D"/>
    <w:rsid w:val="0056706A"/>
    <w:rsid w:val="00573F99"/>
    <w:rsid w:val="005749D9"/>
    <w:rsid w:val="005A120E"/>
    <w:rsid w:val="005C41E3"/>
    <w:rsid w:val="005D0B10"/>
    <w:rsid w:val="005D5BBF"/>
    <w:rsid w:val="005E57D5"/>
    <w:rsid w:val="005F3375"/>
    <w:rsid w:val="00612E5A"/>
    <w:rsid w:val="00615D24"/>
    <w:rsid w:val="0066052C"/>
    <w:rsid w:val="00692ED1"/>
    <w:rsid w:val="006A073E"/>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551A"/>
    <w:rsid w:val="007C70E9"/>
    <w:rsid w:val="007D657C"/>
    <w:rsid w:val="007D73E1"/>
    <w:rsid w:val="007E5059"/>
    <w:rsid w:val="007E5A98"/>
    <w:rsid w:val="0081352C"/>
    <w:rsid w:val="00823B51"/>
    <w:rsid w:val="00831AF6"/>
    <w:rsid w:val="00831D59"/>
    <w:rsid w:val="00850776"/>
    <w:rsid w:val="0085616F"/>
    <w:rsid w:val="00874A36"/>
    <w:rsid w:val="00884DA6"/>
    <w:rsid w:val="008A1783"/>
    <w:rsid w:val="008A4612"/>
    <w:rsid w:val="008C2AE7"/>
    <w:rsid w:val="008C7C19"/>
    <w:rsid w:val="008D355E"/>
    <w:rsid w:val="008D7DC9"/>
    <w:rsid w:val="008F026F"/>
    <w:rsid w:val="00900657"/>
    <w:rsid w:val="0090149F"/>
    <w:rsid w:val="009177B5"/>
    <w:rsid w:val="00940B48"/>
    <w:rsid w:val="009D1952"/>
    <w:rsid w:val="009E159A"/>
    <w:rsid w:val="009F5F7D"/>
    <w:rsid w:val="00A22306"/>
    <w:rsid w:val="00A460B1"/>
    <w:rsid w:val="00A55CBB"/>
    <w:rsid w:val="00A61ABC"/>
    <w:rsid w:val="00A61D56"/>
    <w:rsid w:val="00A662C3"/>
    <w:rsid w:val="00AA078F"/>
    <w:rsid w:val="00AB2C65"/>
    <w:rsid w:val="00AB5248"/>
    <w:rsid w:val="00AE512D"/>
    <w:rsid w:val="00AF068A"/>
    <w:rsid w:val="00B12917"/>
    <w:rsid w:val="00B20E08"/>
    <w:rsid w:val="00B406BC"/>
    <w:rsid w:val="00B619A6"/>
    <w:rsid w:val="00B64103"/>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50938"/>
    <w:rsid w:val="00C849C2"/>
    <w:rsid w:val="00CB1408"/>
    <w:rsid w:val="00CC01F2"/>
    <w:rsid w:val="00CD24DC"/>
    <w:rsid w:val="00D20527"/>
    <w:rsid w:val="00D20B07"/>
    <w:rsid w:val="00D31C69"/>
    <w:rsid w:val="00D55C3E"/>
    <w:rsid w:val="00D73730"/>
    <w:rsid w:val="00D9283F"/>
    <w:rsid w:val="00D93FB0"/>
    <w:rsid w:val="00DB2277"/>
    <w:rsid w:val="00DB7AF9"/>
    <w:rsid w:val="00DD207A"/>
    <w:rsid w:val="00DE6481"/>
    <w:rsid w:val="00DF1DB7"/>
    <w:rsid w:val="00DF46E8"/>
    <w:rsid w:val="00E0706A"/>
    <w:rsid w:val="00E13164"/>
    <w:rsid w:val="00E15230"/>
    <w:rsid w:val="00E30BF1"/>
    <w:rsid w:val="00E40683"/>
    <w:rsid w:val="00E41F9B"/>
    <w:rsid w:val="00E4320F"/>
    <w:rsid w:val="00E47030"/>
    <w:rsid w:val="00E7561B"/>
    <w:rsid w:val="00E77340"/>
    <w:rsid w:val="00EB589E"/>
    <w:rsid w:val="00ED0FAB"/>
    <w:rsid w:val="00ED708C"/>
    <w:rsid w:val="00ED7225"/>
    <w:rsid w:val="00EF23D5"/>
    <w:rsid w:val="00EF340B"/>
    <w:rsid w:val="00F13166"/>
    <w:rsid w:val="00F15ABF"/>
    <w:rsid w:val="00F21773"/>
    <w:rsid w:val="00F23B87"/>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54152B"/>
    <w:pPr>
      <w:spacing w:after="200" w:line="276" w:lineRule="auto"/>
      <w:ind w:left="720"/>
      <w:contextualSpacing/>
    </w:pPr>
    <w:rPr>
      <w:rFonts w:ascii="Verdana" w:eastAsia="Calibri" w:hAnsi="Verdana"/>
      <w:sz w:val="17"/>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13E9-2C93-401D-A84C-4AFA3D62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9859C5-3F33-4F3F-8EBC-4EE2900E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8087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5</cp:revision>
  <cp:lastPrinted>2018-11-29T13:20:00Z</cp:lastPrinted>
  <dcterms:created xsi:type="dcterms:W3CDTF">2020-02-13T16:54:00Z</dcterms:created>
  <dcterms:modified xsi:type="dcterms:W3CDTF">2020-05-08T10:28:00Z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