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C8F078F" w14:textId="77777777" w:rsidR="00111FEC" w:rsidRPr="007C551A" w:rsidRDefault="00111FEC" w:rsidP="0008124E">
      <w:pPr>
        <w:rPr>
          <w:rFonts w:ascii="Verdana" w:hAnsi="Verdana" w:cs="Arial"/>
          <w:b/>
          <w:lang w:val="en-GB"/>
        </w:rPr>
      </w:pPr>
      <w:bookmarkStart w:id="1" w:name="_GoBack"/>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1F65B384" w:rsidR="00C21F9A" w:rsidRPr="007C551A" w:rsidRDefault="000D7133" w:rsidP="00B75D93">
            <w:pPr>
              <w:rPr>
                <w:rFonts w:ascii="Verdana" w:hAnsi="Verdana" w:cs="Arial"/>
                <w:b/>
                <w:sz w:val="18"/>
                <w:szCs w:val="18"/>
                <w:lang w:val="en-GB"/>
              </w:rPr>
            </w:pPr>
            <w:r>
              <w:rPr>
                <w:rFonts w:ascii="Verdana" w:hAnsi="Verdana" w:cs="Arial"/>
                <w:b/>
                <w:sz w:val="18"/>
                <w:szCs w:val="18"/>
                <w:lang w:val="en-GB"/>
              </w:rPr>
              <w:t>TKI-AF-18022</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56066057" w:rsidR="00C21F9A" w:rsidRPr="007C551A" w:rsidRDefault="000D7133" w:rsidP="00B75D93">
            <w:pPr>
              <w:rPr>
                <w:rFonts w:ascii="Verdana" w:hAnsi="Verdana" w:cs="Arial"/>
                <w:b/>
                <w:sz w:val="18"/>
                <w:szCs w:val="18"/>
                <w:lang w:val="en-GB"/>
              </w:rPr>
            </w:pPr>
            <w:r>
              <w:rPr>
                <w:rFonts w:ascii="Verdana" w:hAnsi="Verdana" w:cs="Arial"/>
                <w:b/>
                <w:sz w:val="18"/>
                <w:szCs w:val="18"/>
                <w:lang w:val="en-GB"/>
              </w:rPr>
              <w:t>To Control Coccidiosis</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4BE3C252" w:rsidR="00C21F9A" w:rsidRPr="007C551A" w:rsidRDefault="000D7133" w:rsidP="00B75D93">
            <w:pPr>
              <w:rPr>
                <w:rFonts w:ascii="Verdana" w:hAnsi="Verdana" w:cs="Arial"/>
                <w:b/>
                <w:sz w:val="18"/>
                <w:szCs w:val="18"/>
                <w:lang w:val="en-GB"/>
              </w:rPr>
            </w:pPr>
            <w:r>
              <w:rPr>
                <w:rFonts w:ascii="Verdana" w:hAnsi="Verdana" w:cs="Arial"/>
                <w:b/>
                <w:sz w:val="18"/>
                <w:szCs w:val="18"/>
                <w:lang w:val="en-GB"/>
              </w:rPr>
              <w:t>Climate neutral</w:t>
            </w: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36FF0C0F" w:rsidR="00502949" w:rsidRPr="007C551A" w:rsidRDefault="000D7133" w:rsidP="00B75D93">
            <w:pPr>
              <w:rPr>
                <w:rFonts w:ascii="Verdana" w:hAnsi="Verdana" w:cs="Arial"/>
                <w:b/>
                <w:sz w:val="18"/>
                <w:szCs w:val="18"/>
                <w:lang w:val="en-GB"/>
              </w:rPr>
            </w:pPr>
            <w:r>
              <w:rPr>
                <w:rFonts w:ascii="Verdana" w:hAnsi="Verdana" w:cs="Arial"/>
                <w:b/>
                <w:sz w:val="18"/>
                <w:szCs w:val="18"/>
                <w:lang w:val="en-GB"/>
              </w:rPr>
              <w:t>Wageningen Livestock Research</w:t>
            </w:r>
          </w:p>
        </w:tc>
      </w:tr>
      <w:tr w:rsidR="00C21F9A" w:rsidRPr="000D7133"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1562AE48" w:rsidR="00C21F9A" w:rsidRPr="000D7133" w:rsidRDefault="000D7133" w:rsidP="00B75D93">
            <w:pPr>
              <w:rPr>
                <w:rFonts w:ascii="Verdana" w:hAnsi="Verdana" w:cs="Arial"/>
                <w:b/>
                <w:sz w:val="18"/>
                <w:szCs w:val="18"/>
              </w:rPr>
            </w:pPr>
            <w:r w:rsidRPr="000D7133">
              <w:rPr>
                <w:rFonts w:ascii="Verdana" w:hAnsi="Verdana" w:cs="Arial"/>
                <w:b/>
                <w:sz w:val="18"/>
                <w:szCs w:val="18"/>
              </w:rPr>
              <w:t>Dr. ir. Ingrid de Jong, ingrid.dejong@wur.nl</w:t>
            </w:r>
          </w:p>
        </w:tc>
      </w:tr>
      <w:tr w:rsidR="00C21F9A" w:rsidRPr="0088743E"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3A382C3E" w14:textId="1F97840D" w:rsidR="00C21F9A" w:rsidRPr="007C551A" w:rsidRDefault="000D7133" w:rsidP="00B75D93">
            <w:pPr>
              <w:rPr>
                <w:rFonts w:ascii="Verdana" w:hAnsi="Verdana" w:cs="Arial"/>
                <w:b/>
                <w:sz w:val="18"/>
                <w:szCs w:val="18"/>
                <w:lang w:val="en-GB"/>
              </w:rPr>
            </w:pPr>
            <w:r>
              <w:rPr>
                <w:rFonts w:ascii="Verdana" w:hAnsi="Verdana" w:cs="Arial"/>
                <w:b/>
                <w:sz w:val="18"/>
                <w:szCs w:val="18"/>
                <w:lang w:val="en-GB"/>
              </w:rPr>
              <w:t>Mr. J. Zonneveld (</w:t>
            </w:r>
            <w:proofErr w:type="spellStart"/>
            <w:r>
              <w:rPr>
                <w:rFonts w:ascii="Verdana" w:hAnsi="Verdana" w:cs="Arial"/>
                <w:b/>
                <w:sz w:val="18"/>
                <w:szCs w:val="18"/>
                <w:lang w:val="en-GB"/>
              </w:rPr>
              <w:t>ForFarmers</w:t>
            </w:r>
            <w:proofErr w:type="spellEnd"/>
            <w:r>
              <w:rPr>
                <w:rFonts w:ascii="Verdana" w:hAnsi="Verdana" w:cs="Arial"/>
                <w:b/>
                <w:sz w:val="18"/>
                <w:szCs w:val="18"/>
                <w:lang w:val="en-GB"/>
              </w:rPr>
              <w:t>)</w:t>
            </w:r>
            <w:r w:rsidR="0088743E">
              <w:rPr>
                <w:rFonts w:ascii="Verdana" w:hAnsi="Verdana" w:cs="Arial"/>
                <w:b/>
                <w:sz w:val="18"/>
                <w:szCs w:val="18"/>
                <w:lang w:val="en-GB"/>
              </w:rPr>
              <w:t xml:space="preserve"> (replaces mr. A. </w:t>
            </w:r>
            <w:proofErr w:type="spellStart"/>
            <w:r w:rsidR="0088743E">
              <w:rPr>
                <w:rFonts w:ascii="Verdana" w:hAnsi="Verdana" w:cs="Arial"/>
                <w:b/>
                <w:sz w:val="18"/>
                <w:szCs w:val="18"/>
                <w:lang w:val="en-GB"/>
              </w:rPr>
              <w:t>Dijkslag</w:t>
            </w:r>
            <w:proofErr w:type="spellEnd"/>
            <w:r w:rsidR="0088743E">
              <w:rPr>
                <w:rFonts w:ascii="Verdana" w:hAnsi="Verdana" w:cs="Arial"/>
                <w:b/>
                <w:sz w:val="18"/>
                <w:szCs w:val="18"/>
                <w:lang w:val="en-GB"/>
              </w:rPr>
              <w:t xml:space="preserve">, </w:t>
            </w:r>
            <w:proofErr w:type="spellStart"/>
            <w:r w:rsidR="0088743E">
              <w:rPr>
                <w:rFonts w:ascii="Verdana" w:hAnsi="Verdana" w:cs="Arial"/>
                <w:b/>
                <w:sz w:val="18"/>
                <w:szCs w:val="18"/>
                <w:lang w:val="en-GB"/>
              </w:rPr>
              <w:t>ForFarmers</w:t>
            </w:r>
            <w:proofErr w:type="spellEnd"/>
            <w:r w:rsidR="0088743E">
              <w:rPr>
                <w:rFonts w:ascii="Verdana" w:hAnsi="Verdana" w:cs="Arial"/>
                <w:b/>
                <w:sz w:val="18"/>
                <w:szCs w:val="18"/>
                <w:lang w:val="en-GB"/>
              </w:rPr>
              <w:t>)</w:t>
            </w:r>
          </w:p>
        </w:tc>
      </w:tr>
      <w:tr w:rsidR="008C2AE7" w:rsidRPr="00340020"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5712A957" w:rsidR="008C2AE7" w:rsidRPr="007C551A" w:rsidRDefault="000D7133" w:rsidP="00B75D93">
            <w:pPr>
              <w:rPr>
                <w:rFonts w:ascii="Verdana" w:hAnsi="Verdana" w:cs="Arial"/>
                <w:b/>
                <w:sz w:val="18"/>
                <w:szCs w:val="18"/>
                <w:lang w:val="en-GB"/>
              </w:rPr>
            </w:pPr>
            <w:r w:rsidRPr="000D7133">
              <w:rPr>
                <w:rFonts w:ascii="Verdana" w:hAnsi="Verdana" w:cs="Arial"/>
                <w:b/>
                <w:sz w:val="18"/>
                <w:szCs w:val="18"/>
                <w:lang w:val="en-GB"/>
              </w:rPr>
              <w:t>https://www.wur.nl/en/Research-Results/Research-Institutes/livestock-research/show-wlr/To-control-Coccidiosis-in-broiler-chickens.htm</w:t>
            </w:r>
          </w:p>
        </w:tc>
      </w:tr>
      <w:tr w:rsidR="00D73730" w:rsidRPr="000D7133"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32EE449B" w:rsidR="00D73730" w:rsidRPr="007C551A" w:rsidRDefault="000D7133" w:rsidP="00B75D93">
            <w:pPr>
              <w:rPr>
                <w:rFonts w:ascii="Verdana" w:hAnsi="Verdana" w:cs="Arial"/>
                <w:b/>
                <w:sz w:val="18"/>
                <w:szCs w:val="18"/>
                <w:lang w:val="en-GB"/>
              </w:rPr>
            </w:pPr>
            <w:r>
              <w:rPr>
                <w:rFonts w:ascii="Verdana" w:hAnsi="Verdana" w:cs="Arial"/>
                <w:b/>
                <w:sz w:val="18"/>
                <w:szCs w:val="18"/>
                <w:lang w:val="en-GB"/>
              </w:rPr>
              <w:t>01-01-2019</w:t>
            </w:r>
          </w:p>
        </w:tc>
      </w:tr>
      <w:tr w:rsidR="004977B1" w:rsidRPr="000D7133"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162E3F2A" w:rsidR="004977B1" w:rsidRPr="007C551A" w:rsidRDefault="000D7133" w:rsidP="00B75D93">
            <w:pPr>
              <w:rPr>
                <w:rFonts w:ascii="Verdana" w:hAnsi="Verdana" w:cs="Arial"/>
                <w:b/>
                <w:sz w:val="18"/>
                <w:szCs w:val="18"/>
                <w:lang w:val="en-GB"/>
              </w:rPr>
            </w:pPr>
            <w:r>
              <w:rPr>
                <w:rFonts w:ascii="Verdana" w:hAnsi="Verdana" w:cs="Arial"/>
                <w:b/>
                <w:sz w:val="18"/>
                <w:szCs w:val="18"/>
                <w:lang w:val="en-GB"/>
              </w:rPr>
              <w:t>31-12-2022</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774BB6F6" w:rsidR="00D93FB0" w:rsidRPr="007C551A" w:rsidRDefault="00E244A5"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340020"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340020"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23A9D3CC" w14:textId="6175FEA7" w:rsidR="0088743E" w:rsidRDefault="0088743E" w:rsidP="0088743E">
            <w:pPr>
              <w:rPr>
                <w:rFonts w:ascii="Verdana" w:hAnsi="Verdana" w:cs="Arial"/>
                <w:sz w:val="18"/>
                <w:szCs w:val="18"/>
                <w:lang w:val="en-GB"/>
              </w:rPr>
            </w:pPr>
            <w:r>
              <w:rPr>
                <w:rFonts w:ascii="Verdana" w:hAnsi="Verdana" w:cs="Arial"/>
                <w:sz w:val="18"/>
                <w:szCs w:val="18"/>
                <w:lang w:val="en-GB"/>
              </w:rPr>
              <w:t>C</w:t>
            </w:r>
            <w:r w:rsidRPr="000D7133">
              <w:rPr>
                <w:rFonts w:ascii="Verdana" w:hAnsi="Verdana" w:cs="Arial"/>
                <w:sz w:val="18"/>
                <w:szCs w:val="18"/>
                <w:lang w:val="en-GB"/>
              </w:rPr>
              <w:t>urrently</w:t>
            </w:r>
            <w:r>
              <w:rPr>
                <w:rFonts w:ascii="Verdana" w:hAnsi="Verdana" w:cs="Arial"/>
                <w:sz w:val="18"/>
                <w:szCs w:val="18"/>
                <w:lang w:val="en-GB"/>
              </w:rPr>
              <w:t>,</w:t>
            </w:r>
            <w:r w:rsidRPr="000D7133">
              <w:rPr>
                <w:rFonts w:ascii="Verdana" w:hAnsi="Verdana" w:cs="Arial"/>
                <w:sz w:val="18"/>
                <w:szCs w:val="18"/>
                <w:lang w:val="en-GB"/>
              </w:rPr>
              <w:t xml:space="preserve"> </w:t>
            </w:r>
            <w:r>
              <w:rPr>
                <w:rFonts w:ascii="Verdana" w:hAnsi="Verdana" w:cs="Arial"/>
                <w:sz w:val="18"/>
                <w:szCs w:val="18"/>
                <w:lang w:val="en-GB"/>
              </w:rPr>
              <w:t xml:space="preserve">the infection with the pathogen </w:t>
            </w:r>
            <w:r w:rsidRPr="005D374B">
              <w:rPr>
                <w:rFonts w:ascii="Verdana" w:hAnsi="Verdana" w:cs="Arial"/>
                <w:i/>
                <w:iCs/>
                <w:sz w:val="18"/>
                <w:szCs w:val="18"/>
                <w:lang w:val="en-GB"/>
              </w:rPr>
              <w:t>Eimeria</w:t>
            </w:r>
            <w:r>
              <w:rPr>
                <w:rFonts w:ascii="Verdana" w:hAnsi="Verdana" w:cs="Arial"/>
                <w:sz w:val="18"/>
                <w:szCs w:val="18"/>
                <w:lang w:val="en-GB"/>
              </w:rPr>
              <w:t xml:space="preserve">, causing the disease </w:t>
            </w:r>
            <w:r w:rsidRPr="000D7133">
              <w:rPr>
                <w:rFonts w:ascii="Verdana" w:hAnsi="Verdana" w:cs="Arial"/>
                <w:sz w:val="18"/>
                <w:szCs w:val="18"/>
                <w:lang w:val="en-GB"/>
              </w:rPr>
              <w:t>coccidiosis</w:t>
            </w:r>
            <w:r>
              <w:rPr>
                <w:rFonts w:ascii="Verdana" w:hAnsi="Verdana" w:cs="Arial"/>
                <w:sz w:val="18"/>
                <w:szCs w:val="18"/>
                <w:lang w:val="en-GB"/>
              </w:rPr>
              <w:t>,</w:t>
            </w:r>
            <w:r w:rsidRPr="000D7133">
              <w:rPr>
                <w:rFonts w:ascii="Verdana" w:hAnsi="Verdana" w:cs="Arial"/>
                <w:sz w:val="18"/>
                <w:szCs w:val="18"/>
                <w:lang w:val="en-GB"/>
              </w:rPr>
              <w:t xml:space="preserve"> cannot be prevented</w:t>
            </w:r>
            <w:r>
              <w:rPr>
                <w:rFonts w:ascii="Verdana" w:hAnsi="Verdana" w:cs="Arial"/>
                <w:sz w:val="18"/>
                <w:szCs w:val="18"/>
                <w:lang w:val="en-GB"/>
              </w:rPr>
              <w:t xml:space="preserve">. Therefore </w:t>
            </w:r>
            <w:r w:rsidRPr="000D7133">
              <w:rPr>
                <w:rFonts w:ascii="Verdana" w:hAnsi="Verdana" w:cs="Arial"/>
                <w:sz w:val="18"/>
                <w:szCs w:val="18"/>
                <w:lang w:val="en-GB"/>
              </w:rPr>
              <w:t xml:space="preserve">it is important to control </w:t>
            </w:r>
            <w:r>
              <w:rPr>
                <w:rFonts w:ascii="Verdana" w:hAnsi="Verdana" w:cs="Arial"/>
                <w:sz w:val="18"/>
                <w:szCs w:val="18"/>
                <w:lang w:val="en-GB"/>
              </w:rPr>
              <w:t xml:space="preserve">the inevitable </w:t>
            </w:r>
            <w:r w:rsidRPr="000D7133">
              <w:rPr>
                <w:rFonts w:ascii="Verdana" w:hAnsi="Verdana" w:cs="Arial"/>
                <w:sz w:val="18"/>
                <w:szCs w:val="18"/>
                <w:lang w:val="en-GB"/>
              </w:rPr>
              <w:t>infection to prevent impaired animal welfare and production losses.</w:t>
            </w:r>
          </w:p>
          <w:p w14:paraId="3141D852" w14:textId="7820F6D2" w:rsidR="00C50938" w:rsidRPr="007C551A" w:rsidRDefault="000D7133" w:rsidP="0088743E">
            <w:pPr>
              <w:rPr>
                <w:rFonts w:ascii="Verdana" w:hAnsi="Verdana" w:cs="Arial"/>
                <w:b/>
                <w:sz w:val="18"/>
                <w:szCs w:val="18"/>
                <w:lang w:val="en-GB"/>
              </w:rPr>
            </w:pPr>
            <w:r w:rsidRPr="000D7133">
              <w:rPr>
                <w:rFonts w:ascii="Verdana" w:hAnsi="Verdana" w:cs="Arial"/>
                <w:sz w:val="18"/>
                <w:szCs w:val="18"/>
                <w:lang w:val="en-GB"/>
              </w:rPr>
              <w:t xml:space="preserve">To </w:t>
            </w:r>
            <w:r w:rsidR="00206AC4">
              <w:rPr>
                <w:rFonts w:ascii="Verdana" w:hAnsi="Verdana" w:cs="Arial"/>
                <w:sz w:val="18"/>
                <w:szCs w:val="18"/>
                <w:lang w:val="en-GB"/>
              </w:rPr>
              <w:t>reduce</w:t>
            </w:r>
            <w:r w:rsidRPr="000D7133">
              <w:rPr>
                <w:rFonts w:ascii="Verdana" w:hAnsi="Verdana" w:cs="Arial"/>
                <w:sz w:val="18"/>
                <w:szCs w:val="18"/>
                <w:lang w:val="en-GB"/>
              </w:rPr>
              <w:t xml:space="preserve"> the negative consequences of coccidiosis and secondary infections</w:t>
            </w:r>
            <w:r>
              <w:rPr>
                <w:rFonts w:ascii="Verdana" w:hAnsi="Verdana" w:cs="Arial"/>
                <w:sz w:val="18"/>
                <w:szCs w:val="18"/>
                <w:lang w:val="en-GB"/>
              </w:rPr>
              <w:t xml:space="preserve"> in broiler chickens</w:t>
            </w:r>
            <w:r w:rsidRPr="000D7133">
              <w:rPr>
                <w:rFonts w:ascii="Verdana" w:hAnsi="Verdana" w:cs="Arial"/>
                <w:sz w:val="18"/>
                <w:szCs w:val="18"/>
                <w:lang w:val="en-GB"/>
              </w:rPr>
              <w:t xml:space="preserve">, and thus to </w:t>
            </w:r>
            <w:r w:rsidR="00206AC4">
              <w:rPr>
                <w:rFonts w:ascii="Verdana" w:hAnsi="Verdana" w:cs="Arial"/>
                <w:sz w:val="18"/>
                <w:szCs w:val="18"/>
                <w:lang w:val="en-GB"/>
              </w:rPr>
              <w:t>limit the negative impact on</w:t>
            </w:r>
            <w:r w:rsidRPr="000D7133">
              <w:rPr>
                <w:rFonts w:ascii="Verdana" w:hAnsi="Verdana" w:cs="Arial"/>
                <w:sz w:val="18"/>
                <w:szCs w:val="18"/>
                <w:lang w:val="en-GB"/>
              </w:rPr>
              <w:t xml:space="preserve"> animal welfare and production losses, coccidiostats are </w:t>
            </w:r>
            <w:r>
              <w:rPr>
                <w:rFonts w:ascii="Verdana" w:hAnsi="Verdana" w:cs="Arial"/>
                <w:sz w:val="18"/>
                <w:szCs w:val="18"/>
                <w:lang w:val="en-GB"/>
              </w:rPr>
              <w:t xml:space="preserve">usually </w:t>
            </w:r>
            <w:r w:rsidRPr="000D7133">
              <w:rPr>
                <w:rFonts w:ascii="Verdana" w:hAnsi="Verdana" w:cs="Arial"/>
                <w:sz w:val="18"/>
                <w:szCs w:val="18"/>
                <w:lang w:val="en-GB"/>
              </w:rPr>
              <w:t>added to the feed. However, th</w:t>
            </w:r>
            <w:r w:rsidR="00206AC4">
              <w:rPr>
                <w:rFonts w:ascii="Verdana" w:hAnsi="Verdana" w:cs="Arial"/>
                <w:sz w:val="18"/>
                <w:szCs w:val="18"/>
                <w:lang w:val="en-GB"/>
              </w:rPr>
              <w:t xml:space="preserve">is approach </w:t>
            </w:r>
            <w:r w:rsidRPr="000D7133">
              <w:rPr>
                <w:rFonts w:ascii="Verdana" w:hAnsi="Verdana" w:cs="Arial"/>
                <w:sz w:val="18"/>
                <w:szCs w:val="18"/>
                <w:lang w:val="en-GB"/>
              </w:rPr>
              <w:t>control</w:t>
            </w:r>
            <w:r w:rsidR="00206AC4">
              <w:rPr>
                <w:rFonts w:ascii="Verdana" w:hAnsi="Verdana" w:cs="Arial"/>
                <w:sz w:val="18"/>
                <w:szCs w:val="18"/>
                <w:lang w:val="en-GB"/>
              </w:rPr>
              <w:t>s</w:t>
            </w:r>
            <w:r w:rsidRPr="000D7133">
              <w:rPr>
                <w:rFonts w:ascii="Verdana" w:hAnsi="Verdana" w:cs="Arial"/>
                <w:sz w:val="18"/>
                <w:szCs w:val="18"/>
                <w:lang w:val="en-GB"/>
              </w:rPr>
              <w:t xml:space="preserve"> the negative consequences of infection only to a limited extent. Treatment can therefore be a</w:t>
            </w:r>
            <w:r>
              <w:rPr>
                <w:rFonts w:ascii="Verdana" w:hAnsi="Verdana" w:cs="Arial"/>
                <w:sz w:val="18"/>
                <w:szCs w:val="18"/>
                <w:lang w:val="en-GB"/>
              </w:rPr>
              <w:t xml:space="preserve">lternated by using vaccination, but this </w:t>
            </w:r>
            <w:r w:rsidRPr="000D7133">
              <w:rPr>
                <w:rFonts w:ascii="Verdana" w:hAnsi="Verdana" w:cs="Arial"/>
                <w:sz w:val="18"/>
                <w:szCs w:val="18"/>
                <w:lang w:val="en-GB"/>
              </w:rPr>
              <w:t>is expensive</w:t>
            </w:r>
            <w:r w:rsidR="00206AC4">
              <w:rPr>
                <w:rFonts w:ascii="Verdana" w:hAnsi="Verdana" w:cs="Arial"/>
                <w:sz w:val="18"/>
                <w:szCs w:val="18"/>
                <w:lang w:val="en-GB"/>
              </w:rPr>
              <w:t xml:space="preserve"> and difficult to carry out adequately on farms. Vaccination </w:t>
            </w:r>
            <w:r w:rsidRPr="000D7133">
              <w:rPr>
                <w:rFonts w:ascii="Verdana" w:hAnsi="Verdana" w:cs="Arial"/>
                <w:sz w:val="18"/>
                <w:szCs w:val="18"/>
                <w:lang w:val="en-GB"/>
              </w:rPr>
              <w:t xml:space="preserve">is only preferred over coccidiostats if it results in an early, uniform infection by the vaccine strain and a timely </w:t>
            </w:r>
            <w:r w:rsidR="00454F50">
              <w:rPr>
                <w:rFonts w:ascii="Verdana" w:hAnsi="Verdana" w:cs="Arial"/>
                <w:sz w:val="18"/>
                <w:szCs w:val="18"/>
                <w:lang w:val="en-GB"/>
              </w:rPr>
              <w:t>developed</w:t>
            </w:r>
            <w:r w:rsidRPr="000D7133">
              <w:rPr>
                <w:rFonts w:ascii="Verdana" w:hAnsi="Verdana" w:cs="Arial"/>
                <w:sz w:val="18"/>
                <w:szCs w:val="18"/>
                <w:lang w:val="en-GB"/>
              </w:rPr>
              <w:t xml:space="preserve"> immunity in the flock, which is often not the case. Vaccination may therefore still result in secondary infections. Medication to prevent coccidiosis and secondary infections is not only expensive but also not preferred from a </w:t>
            </w:r>
            <w:r w:rsidR="00206AC4">
              <w:rPr>
                <w:rFonts w:ascii="Verdana" w:hAnsi="Verdana" w:cs="Arial"/>
                <w:sz w:val="18"/>
                <w:szCs w:val="18"/>
                <w:lang w:val="en-GB"/>
              </w:rPr>
              <w:t>public</w:t>
            </w:r>
            <w:r w:rsidR="00206AC4" w:rsidRPr="000D7133">
              <w:rPr>
                <w:rFonts w:ascii="Verdana" w:hAnsi="Verdana" w:cs="Arial"/>
                <w:sz w:val="18"/>
                <w:szCs w:val="18"/>
                <w:lang w:val="en-GB"/>
              </w:rPr>
              <w:t xml:space="preserve"> </w:t>
            </w:r>
            <w:r w:rsidRPr="000D7133">
              <w:rPr>
                <w:rFonts w:ascii="Verdana" w:hAnsi="Verdana" w:cs="Arial"/>
                <w:sz w:val="18"/>
                <w:szCs w:val="18"/>
                <w:lang w:val="en-GB"/>
              </w:rPr>
              <w:t xml:space="preserve">health point of view and societal acceptation of broiler production. </w:t>
            </w:r>
          </w:p>
        </w:tc>
      </w:tr>
      <w:tr w:rsidR="00280484" w:rsidRPr="00340020"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3AFF7E64" w:rsidR="00280484" w:rsidRPr="000D7133" w:rsidRDefault="000D7133">
            <w:pPr>
              <w:rPr>
                <w:rFonts w:ascii="Verdana" w:hAnsi="Verdana" w:cs="Arial"/>
                <w:sz w:val="18"/>
                <w:szCs w:val="18"/>
                <w:lang w:val="en-GB"/>
              </w:rPr>
            </w:pPr>
            <w:r w:rsidRPr="000D7133">
              <w:rPr>
                <w:rFonts w:ascii="Verdana" w:hAnsi="Verdana" w:cs="Arial"/>
                <w:sz w:val="18"/>
                <w:szCs w:val="18"/>
                <w:lang w:val="en-GB"/>
              </w:rPr>
              <w:t xml:space="preserve">The aim of the project is to control coccidiosis in broiler chickens by promoting resilience to infection, and thus to </w:t>
            </w:r>
            <w:r w:rsidR="005D374B">
              <w:rPr>
                <w:rFonts w:ascii="Verdana" w:hAnsi="Verdana" w:cs="Arial"/>
                <w:sz w:val="18"/>
                <w:szCs w:val="18"/>
                <w:lang w:val="en-GB"/>
              </w:rPr>
              <w:t>reduce the need for</w:t>
            </w:r>
            <w:r w:rsidRPr="000D7133">
              <w:rPr>
                <w:rFonts w:ascii="Verdana" w:hAnsi="Verdana" w:cs="Arial"/>
                <w:sz w:val="18"/>
                <w:szCs w:val="18"/>
                <w:lang w:val="en-GB"/>
              </w:rPr>
              <w:t xml:space="preserve"> application of medication (also for secondary infections) in the future. We will follow an integrated approach in which we will stimulate early protection against infection as well as support gut health during infection and recovery. This integrated approach is new, because it is not aimed at elimination or suppression of the parasite, which has thus far </w:t>
            </w:r>
            <w:r w:rsidR="005D374B">
              <w:rPr>
                <w:rFonts w:ascii="Verdana" w:hAnsi="Verdana" w:cs="Arial"/>
                <w:sz w:val="18"/>
                <w:szCs w:val="18"/>
                <w:lang w:val="en-GB"/>
              </w:rPr>
              <w:t xml:space="preserve">shown </w:t>
            </w:r>
            <w:r w:rsidRPr="000D7133">
              <w:rPr>
                <w:rFonts w:ascii="Verdana" w:hAnsi="Verdana" w:cs="Arial"/>
                <w:sz w:val="18"/>
                <w:szCs w:val="18"/>
                <w:lang w:val="en-GB"/>
              </w:rPr>
              <w:t xml:space="preserve">limited success, but is aimed to support the broiler chicken during infection with </w:t>
            </w:r>
            <w:r>
              <w:rPr>
                <w:rFonts w:ascii="Verdana" w:hAnsi="Verdana" w:cs="Arial"/>
                <w:sz w:val="18"/>
                <w:szCs w:val="18"/>
                <w:lang w:val="en-GB"/>
              </w:rPr>
              <w:t xml:space="preserve">the </w:t>
            </w:r>
            <w:r w:rsidRPr="000D7133">
              <w:rPr>
                <w:rFonts w:ascii="Verdana" w:hAnsi="Verdana" w:cs="Arial"/>
                <w:i/>
                <w:sz w:val="18"/>
                <w:szCs w:val="18"/>
                <w:lang w:val="en-GB"/>
              </w:rPr>
              <w:t>Eimeria</w:t>
            </w:r>
            <w:r>
              <w:rPr>
                <w:rFonts w:ascii="Verdana" w:hAnsi="Verdana" w:cs="Arial"/>
                <w:sz w:val="18"/>
                <w:szCs w:val="18"/>
                <w:lang w:val="en-GB"/>
              </w:rPr>
              <w:t xml:space="preserve"> parasite</w:t>
            </w:r>
            <w:r w:rsidRPr="000D7133">
              <w:rPr>
                <w:rFonts w:ascii="Verdana" w:hAnsi="Verdana" w:cs="Arial"/>
                <w:sz w:val="18"/>
                <w:szCs w:val="18"/>
                <w:lang w:val="en-GB"/>
              </w:rPr>
              <w:t>.</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89"/>
      </w:tblGrid>
      <w:tr w:rsidR="00FA4086" w:rsidRPr="007C551A" w14:paraId="140D37C8" w14:textId="77777777" w:rsidTr="0088743E">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lastRenderedPageBreak/>
              <w:t>Result</w:t>
            </w:r>
            <w:r w:rsidR="00D20527" w:rsidRPr="007C551A">
              <w:rPr>
                <w:rFonts w:ascii="Verdana" w:hAnsi="Verdana" w:cs="Arial"/>
                <w:b/>
                <w:sz w:val="18"/>
                <w:szCs w:val="18"/>
                <w:lang w:val="en-GB"/>
              </w:rPr>
              <w:t>s</w:t>
            </w:r>
          </w:p>
        </w:tc>
      </w:tr>
      <w:tr w:rsidR="00C50938" w:rsidRPr="00340020" w14:paraId="5FBF5979" w14:textId="77777777" w:rsidTr="0088743E">
        <w:trPr>
          <w:trHeight w:val="878"/>
        </w:trPr>
        <w:tc>
          <w:tcPr>
            <w:tcW w:w="1271"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7789" w:type="dxa"/>
            <w:shd w:val="clear" w:color="auto" w:fill="auto"/>
          </w:tcPr>
          <w:p w14:paraId="0FF71B7D" w14:textId="680E47B4" w:rsidR="00C50938" w:rsidRDefault="000D7133" w:rsidP="00A460B1">
            <w:pPr>
              <w:rPr>
                <w:rFonts w:ascii="Verdana" w:hAnsi="Verdana"/>
                <w:sz w:val="18"/>
                <w:szCs w:val="18"/>
                <w:lang w:val="en-GB"/>
              </w:rPr>
            </w:pPr>
            <w:r>
              <w:rPr>
                <w:rFonts w:ascii="Verdana" w:hAnsi="Verdana"/>
                <w:sz w:val="18"/>
                <w:szCs w:val="18"/>
                <w:lang w:val="en-GB"/>
              </w:rPr>
              <w:t>Two experiments were planned, aimed at:</w:t>
            </w:r>
          </w:p>
          <w:p w14:paraId="15E64C0D" w14:textId="76A097E5" w:rsidR="00C50938" w:rsidRDefault="000D7133" w:rsidP="000D7133">
            <w:pPr>
              <w:pStyle w:val="Lijstalinea"/>
              <w:numPr>
                <w:ilvl w:val="0"/>
                <w:numId w:val="19"/>
              </w:numPr>
              <w:rPr>
                <w:rFonts w:ascii="Verdana" w:hAnsi="Verdana"/>
                <w:sz w:val="18"/>
                <w:szCs w:val="18"/>
                <w:lang w:val="en-GB"/>
              </w:rPr>
            </w:pPr>
            <w:r>
              <w:rPr>
                <w:rFonts w:ascii="Verdana" w:hAnsi="Verdana"/>
                <w:sz w:val="18"/>
                <w:szCs w:val="18"/>
                <w:lang w:val="en-GB"/>
              </w:rPr>
              <w:t>Finding</w:t>
            </w:r>
            <w:r w:rsidRPr="000D7133">
              <w:rPr>
                <w:rFonts w:ascii="Verdana" w:hAnsi="Verdana"/>
                <w:sz w:val="18"/>
                <w:szCs w:val="18"/>
                <w:lang w:val="en-GB"/>
              </w:rPr>
              <w:t xml:space="preserve"> management measures </w:t>
            </w:r>
            <w:r>
              <w:rPr>
                <w:rFonts w:ascii="Verdana" w:hAnsi="Verdana"/>
                <w:sz w:val="18"/>
                <w:szCs w:val="18"/>
                <w:lang w:val="en-GB"/>
              </w:rPr>
              <w:t xml:space="preserve">that </w:t>
            </w:r>
            <w:r w:rsidRPr="000D7133">
              <w:rPr>
                <w:rFonts w:ascii="Verdana" w:hAnsi="Verdana"/>
                <w:sz w:val="18"/>
                <w:szCs w:val="18"/>
                <w:lang w:val="en-GB"/>
              </w:rPr>
              <w:t>can stimulate early and repeated uptake of a load of oocysts from the moderately infected litter, to achieve early and more uniform infection dynamics and resistance in the flock, without compromising chick health</w:t>
            </w:r>
            <w:r w:rsidR="00FA1DAA">
              <w:rPr>
                <w:rFonts w:ascii="Verdana" w:hAnsi="Verdana"/>
                <w:sz w:val="18"/>
                <w:szCs w:val="18"/>
                <w:lang w:val="en-GB"/>
              </w:rPr>
              <w:t xml:space="preserve"> (promoting a more uniform and better resistance in a broiler flock);</w:t>
            </w:r>
          </w:p>
          <w:p w14:paraId="346FA044" w14:textId="33B99A64" w:rsidR="00FA1DAA" w:rsidRPr="000D7133" w:rsidRDefault="00FA1DAA" w:rsidP="00FA1DAA">
            <w:pPr>
              <w:pStyle w:val="Lijstalinea"/>
              <w:numPr>
                <w:ilvl w:val="0"/>
                <w:numId w:val="19"/>
              </w:numPr>
              <w:rPr>
                <w:rFonts w:ascii="Verdana" w:hAnsi="Verdana"/>
                <w:sz w:val="18"/>
                <w:szCs w:val="18"/>
                <w:lang w:val="en-GB"/>
              </w:rPr>
            </w:pPr>
            <w:r>
              <w:rPr>
                <w:rFonts w:ascii="Verdana" w:hAnsi="Verdana"/>
                <w:sz w:val="18"/>
                <w:szCs w:val="18"/>
                <w:lang w:val="en-GB"/>
              </w:rPr>
              <w:t>To reduce</w:t>
            </w:r>
            <w:r w:rsidRPr="00FA1DAA">
              <w:rPr>
                <w:rFonts w:ascii="Verdana" w:hAnsi="Verdana"/>
                <w:sz w:val="18"/>
                <w:szCs w:val="18"/>
                <w:lang w:val="en-GB"/>
              </w:rPr>
              <w:t xml:space="preserve"> disease symptoms in a </w:t>
            </w:r>
            <w:r>
              <w:rPr>
                <w:rFonts w:ascii="Verdana" w:hAnsi="Verdana"/>
                <w:sz w:val="18"/>
                <w:szCs w:val="18"/>
                <w:lang w:val="en-GB"/>
              </w:rPr>
              <w:t xml:space="preserve">broiler flock </w:t>
            </w:r>
            <w:r w:rsidRPr="00FA1DAA">
              <w:rPr>
                <w:rFonts w:ascii="Verdana" w:hAnsi="Verdana"/>
                <w:sz w:val="18"/>
                <w:szCs w:val="18"/>
                <w:lang w:val="en-GB"/>
              </w:rPr>
              <w:t>by promoting a healthy microbiota composition and supporting the chicks in limiting and quickly repairing intestinal cell damage</w:t>
            </w:r>
            <w:r>
              <w:rPr>
                <w:rFonts w:ascii="Verdana" w:hAnsi="Verdana"/>
                <w:sz w:val="18"/>
                <w:szCs w:val="18"/>
                <w:lang w:val="en-GB"/>
              </w:rPr>
              <w:t>, by providing them with nutritional additives that will support gut integrity, immunity to infection and recovery after infection</w:t>
            </w:r>
            <w:r w:rsidRPr="00FA1DAA">
              <w:rPr>
                <w:rFonts w:ascii="Verdana" w:hAnsi="Verdana"/>
                <w:sz w:val="18"/>
                <w:szCs w:val="18"/>
                <w:lang w:val="en-GB"/>
              </w:rPr>
              <w:t>.</w:t>
            </w:r>
          </w:p>
          <w:p w14:paraId="7ED22AC2" w14:textId="7264B38F" w:rsidR="00C50938" w:rsidRPr="007C551A" w:rsidRDefault="00C50938" w:rsidP="00B75D93">
            <w:pPr>
              <w:rPr>
                <w:rFonts w:ascii="Verdana" w:hAnsi="Verdana" w:cs="Arial"/>
                <w:b/>
                <w:sz w:val="18"/>
                <w:szCs w:val="18"/>
                <w:lang w:val="en-GB"/>
              </w:rPr>
            </w:pPr>
          </w:p>
        </w:tc>
      </w:tr>
      <w:tr w:rsidR="00C50938" w:rsidRPr="00340020" w14:paraId="33C3CCEA" w14:textId="77777777" w:rsidTr="0088743E">
        <w:trPr>
          <w:trHeight w:val="876"/>
        </w:trPr>
        <w:tc>
          <w:tcPr>
            <w:tcW w:w="1271"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7789" w:type="dxa"/>
            <w:shd w:val="clear" w:color="auto" w:fill="auto"/>
          </w:tcPr>
          <w:p w14:paraId="6A01D85D" w14:textId="0DC611D6" w:rsidR="00C50938" w:rsidRDefault="00FA1DAA" w:rsidP="00FA1DAA">
            <w:pPr>
              <w:pStyle w:val="Lijstalinea"/>
              <w:numPr>
                <w:ilvl w:val="0"/>
                <w:numId w:val="20"/>
              </w:numPr>
              <w:rPr>
                <w:rFonts w:ascii="Verdana" w:hAnsi="Verdana"/>
                <w:sz w:val="18"/>
                <w:szCs w:val="18"/>
                <w:lang w:val="en-GB"/>
              </w:rPr>
            </w:pPr>
            <w:r>
              <w:rPr>
                <w:rFonts w:ascii="Verdana" w:hAnsi="Verdana"/>
                <w:sz w:val="18"/>
                <w:szCs w:val="18"/>
                <w:lang w:val="en-GB"/>
              </w:rPr>
              <w:t>Two pilot studies have been carried out, in which four measures were tested that were aimed at promoting the pecking of the chickens at the litter, and thus stimulating the uptake of oocysts to promote a more uniform infection dynamics: double density, red coloured feed, UV light, and a dark brooder (in which the chicks will huddle together), all applied until day 14 of age. The results of the pilots showed that the first three methods seemed suitable to promote litter pecking. Double density and red feed are easy to apply in practice, and will be further studied in a follow up experiment. If possible, the UV light treatment will be included as well.</w:t>
            </w:r>
            <w:r w:rsidR="008B091B">
              <w:rPr>
                <w:rFonts w:ascii="Verdana" w:hAnsi="Verdana"/>
                <w:sz w:val="18"/>
                <w:szCs w:val="18"/>
                <w:lang w:val="en-GB"/>
              </w:rPr>
              <w:t xml:space="preserve"> </w:t>
            </w:r>
          </w:p>
          <w:p w14:paraId="4D5ED8F9" w14:textId="766A0CC4" w:rsidR="00FA1DAA" w:rsidRDefault="00FA1DAA" w:rsidP="00FA1DAA">
            <w:pPr>
              <w:pStyle w:val="Lijstalinea"/>
              <w:numPr>
                <w:ilvl w:val="0"/>
                <w:numId w:val="20"/>
              </w:numPr>
              <w:rPr>
                <w:rFonts w:ascii="Verdana" w:hAnsi="Verdana"/>
                <w:sz w:val="18"/>
                <w:szCs w:val="18"/>
                <w:lang w:val="en-GB"/>
              </w:rPr>
            </w:pPr>
            <w:r>
              <w:rPr>
                <w:rFonts w:ascii="Verdana" w:hAnsi="Verdana"/>
                <w:sz w:val="18"/>
                <w:szCs w:val="18"/>
                <w:lang w:val="en-GB"/>
              </w:rPr>
              <w:t>Four feeding strategies have been tested with respect to their ability to promote resilience of broiler chickens to coccidiosis:</w:t>
            </w:r>
          </w:p>
          <w:tbl>
            <w:tblPr>
              <w:tblW w:w="5077" w:type="pct"/>
              <w:tblLayout w:type="fixed"/>
              <w:tblLook w:val="04A0" w:firstRow="1" w:lastRow="0" w:firstColumn="1" w:lastColumn="0" w:noHBand="0" w:noVBand="1"/>
            </w:tblPr>
            <w:tblGrid>
              <w:gridCol w:w="248"/>
              <w:gridCol w:w="720"/>
              <w:gridCol w:w="1097"/>
              <w:gridCol w:w="2149"/>
              <w:gridCol w:w="2472"/>
              <w:gridCol w:w="1004"/>
            </w:tblGrid>
            <w:tr w:rsidR="00FA1DAA" w:rsidRPr="00340020" w14:paraId="4765B73A" w14:textId="77777777" w:rsidTr="0088743E">
              <w:trPr>
                <w:trHeight w:val="290"/>
              </w:trPr>
              <w:tc>
                <w:tcPr>
                  <w:tcW w:w="162" w:type="pct"/>
                  <w:tcBorders>
                    <w:top w:val="single" w:sz="4" w:space="0" w:color="auto"/>
                    <w:bottom w:val="single" w:sz="4" w:space="0" w:color="auto"/>
                    <w:right w:val="nil"/>
                  </w:tcBorders>
                  <w:shd w:val="clear" w:color="auto" w:fill="auto"/>
                  <w:noWrap/>
                  <w:vAlign w:val="bottom"/>
                  <w:hideMark/>
                </w:tcPr>
                <w:p w14:paraId="65B72185" w14:textId="77777777" w:rsidR="00FA1DAA" w:rsidRPr="00FA1DAA" w:rsidRDefault="00FA1DAA" w:rsidP="00FA1DAA">
                  <w:pPr>
                    <w:rPr>
                      <w:rFonts w:cs="Calibri"/>
                      <w:b/>
                      <w:sz w:val="18"/>
                      <w:szCs w:val="18"/>
                      <w:lang w:val="en-US" w:eastAsia="en-GB"/>
                    </w:rPr>
                  </w:pPr>
                  <w:proofErr w:type="spellStart"/>
                  <w:r w:rsidRPr="00FA1DAA">
                    <w:rPr>
                      <w:rFonts w:cs="Calibri"/>
                      <w:b/>
                      <w:sz w:val="18"/>
                      <w:szCs w:val="18"/>
                      <w:lang w:val="en-US" w:eastAsia="en-GB"/>
                    </w:rPr>
                    <w:t>Trt</w:t>
                  </w:r>
                  <w:proofErr w:type="spellEnd"/>
                </w:p>
              </w:tc>
              <w:tc>
                <w:tcPr>
                  <w:tcW w:w="468" w:type="pct"/>
                  <w:tcBorders>
                    <w:top w:val="single" w:sz="4" w:space="0" w:color="auto"/>
                    <w:left w:val="nil"/>
                    <w:bottom w:val="single" w:sz="4" w:space="0" w:color="auto"/>
                    <w:right w:val="nil"/>
                  </w:tcBorders>
                  <w:shd w:val="clear" w:color="auto" w:fill="auto"/>
                  <w:noWrap/>
                  <w:vAlign w:val="bottom"/>
                  <w:hideMark/>
                </w:tcPr>
                <w:p w14:paraId="3D8DDEA2" w14:textId="77777777" w:rsidR="00FA1DAA" w:rsidRPr="00FA1DAA" w:rsidRDefault="00FA1DAA" w:rsidP="00FA1DAA">
                  <w:pPr>
                    <w:rPr>
                      <w:rFonts w:cs="Calibri"/>
                      <w:b/>
                      <w:sz w:val="18"/>
                      <w:szCs w:val="18"/>
                      <w:lang w:val="en-US" w:eastAsia="en-GB"/>
                    </w:rPr>
                  </w:pPr>
                  <w:r w:rsidRPr="00FA1DAA">
                    <w:rPr>
                      <w:rFonts w:cs="Calibri"/>
                      <w:b/>
                      <w:sz w:val="18"/>
                      <w:szCs w:val="18"/>
                      <w:lang w:val="en-US" w:eastAsia="en-GB"/>
                    </w:rPr>
                    <w:t>Challenge</w:t>
                  </w:r>
                  <w:r w:rsidRPr="00FA1DAA">
                    <w:rPr>
                      <w:rFonts w:cs="Calibri"/>
                      <w:b/>
                      <w:sz w:val="18"/>
                      <w:szCs w:val="18"/>
                      <w:vertAlign w:val="superscript"/>
                      <w:lang w:val="en-US" w:eastAsia="en-GB"/>
                    </w:rPr>
                    <w:t>2</w:t>
                  </w:r>
                </w:p>
              </w:tc>
              <w:tc>
                <w:tcPr>
                  <w:tcW w:w="713" w:type="pct"/>
                  <w:tcBorders>
                    <w:top w:val="single" w:sz="4" w:space="0" w:color="auto"/>
                    <w:left w:val="nil"/>
                    <w:bottom w:val="single" w:sz="4" w:space="0" w:color="auto"/>
                    <w:right w:val="nil"/>
                  </w:tcBorders>
                  <w:shd w:val="clear" w:color="auto" w:fill="auto"/>
                  <w:noWrap/>
                  <w:vAlign w:val="bottom"/>
                  <w:hideMark/>
                </w:tcPr>
                <w:p w14:paraId="06A2B53C" w14:textId="77777777" w:rsidR="00FA1DAA" w:rsidRPr="00FA1DAA" w:rsidRDefault="00FA1DAA" w:rsidP="00FA1DAA">
                  <w:pPr>
                    <w:rPr>
                      <w:rFonts w:cs="Calibri"/>
                      <w:b/>
                      <w:sz w:val="18"/>
                      <w:szCs w:val="18"/>
                      <w:lang w:val="en-US" w:eastAsia="en-GB"/>
                    </w:rPr>
                  </w:pPr>
                  <w:r w:rsidRPr="00FA1DAA">
                    <w:rPr>
                      <w:rFonts w:cs="Calibri"/>
                      <w:b/>
                      <w:sz w:val="18"/>
                      <w:szCs w:val="18"/>
                      <w:lang w:val="en-US" w:eastAsia="en-GB"/>
                    </w:rPr>
                    <w:t>D0-9</w:t>
                  </w:r>
                </w:p>
              </w:tc>
              <w:tc>
                <w:tcPr>
                  <w:tcW w:w="1397" w:type="pct"/>
                  <w:tcBorders>
                    <w:top w:val="single" w:sz="4" w:space="0" w:color="auto"/>
                    <w:left w:val="nil"/>
                    <w:bottom w:val="single" w:sz="4" w:space="0" w:color="auto"/>
                    <w:right w:val="nil"/>
                  </w:tcBorders>
                  <w:shd w:val="clear" w:color="auto" w:fill="auto"/>
                  <w:noWrap/>
                  <w:vAlign w:val="bottom"/>
                  <w:hideMark/>
                </w:tcPr>
                <w:p w14:paraId="2B0F841B" w14:textId="77777777" w:rsidR="00FA1DAA" w:rsidRPr="00FA1DAA" w:rsidRDefault="00FA1DAA" w:rsidP="00FA1DAA">
                  <w:pPr>
                    <w:rPr>
                      <w:rFonts w:cs="Calibri"/>
                      <w:b/>
                      <w:sz w:val="18"/>
                      <w:szCs w:val="18"/>
                      <w:lang w:val="en-US" w:eastAsia="en-GB"/>
                    </w:rPr>
                  </w:pPr>
                  <w:r w:rsidRPr="00FA1DAA">
                    <w:rPr>
                      <w:rFonts w:cs="Calibri"/>
                      <w:b/>
                      <w:sz w:val="18"/>
                      <w:szCs w:val="18"/>
                      <w:lang w:val="en-US" w:eastAsia="en-GB"/>
                    </w:rPr>
                    <w:t>D9-18</w:t>
                  </w:r>
                </w:p>
              </w:tc>
              <w:tc>
                <w:tcPr>
                  <w:tcW w:w="1607" w:type="pct"/>
                  <w:tcBorders>
                    <w:top w:val="single" w:sz="4" w:space="0" w:color="auto"/>
                    <w:left w:val="nil"/>
                    <w:bottom w:val="single" w:sz="4" w:space="0" w:color="auto"/>
                    <w:right w:val="nil"/>
                  </w:tcBorders>
                  <w:shd w:val="clear" w:color="auto" w:fill="auto"/>
                  <w:noWrap/>
                  <w:vAlign w:val="bottom"/>
                  <w:hideMark/>
                </w:tcPr>
                <w:p w14:paraId="0D4BDA53" w14:textId="77777777" w:rsidR="00FA1DAA" w:rsidRPr="00FA1DAA" w:rsidRDefault="00FA1DAA" w:rsidP="00FA1DAA">
                  <w:pPr>
                    <w:rPr>
                      <w:rFonts w:cs="Calibri"/>
                      <w:b/>
                      <w:sz w:val="18"/>
                      <w:szCs w:val="18"/>
                      <w:lang w:val="en-US" w:eastAsia="en-GB"/>
                    </w:rPr>
                  </w:pPr>
                  <w:r w:rsidRPr="00FA1DAA">
                    <w:rPr>
                      <w:rFonts w:cs="Calibri"/>
                      <w:b/>
                      <w:sz w:val="18"/>
                      <w:szCs w:val="18"/>
                      <w:lang w:val="en-US" w:eastAsia="en-GB"/>
                    </w:rPr>
                    <w:t>D18-28</w:t>
                  </w:r>
                </w:p>
              </w:tc>
              <w:tc>
                <w:tcPr>
                  <w:tcW w:w="653" w:type="pct"/>
                  <w:tcBorders>
                    <w:top w:val="single" w:sz="4" w:space="0" w:color="auto"/>
                    <w:left w:val="nil"/>
                    <w:bottom w:val="single" w:sz="4" w:space="0" w:color="auto"/>
                  </w:tcBorders>
                  <w:shd w:val="clear" w:color="auto" w:fill="auto"/>
                  <w:noWrap/>
                  <w:vAlign w:val="bottom"/>
                  <w:hideMark/>
                </w:tcPr>
                <w:p w14:paraId="320365D0" w14:textId="77777777" w:rsidR="00FA1DAA" w:rsidRPr="00FA1DAA" w:rsidRDefault="00FA1DAA" w:rsidP="00FA1DAA">
                  <w:pPr>
                    <w:rPr>
                      <w:rFonts w:cs="Calibri"/>
                      <w:b/>
                      <w:sz w:val="18"/>
                      <w:szCs w:val="18"/>
                      <w:lang w:val="en-US" w:eastAsia="en-GB"/>
                    </w:rPr>
                  </w:pPr>
                  <w:r w:rsidRPr="00FA1DAA">
                    <w:rPr>
                      <w:rFonts w:cs="Calibri"/>
                      <w:b/>
                      <w:sz w:val="18"/>
                      <w:szCs w:val="18"/>
                      <w:lang w:val="en-US" w:eastAsia="en-GB"/>
                    </w:rPr>
                    <w:t>D28-35</w:t>
                  </w:r>
                </w:p>
              </w:tc>
            </w:tr>
            <w:tr w:rsidR="00FA1DAA" w:rsidRPr="00340020" w14:paraId="0676273A" w14:textId="77777777" w:rsidTr="0088743E">
              <w:trPr>
                <w:trHeight w:val="290"/>
              </w:trPr>
              <w:tc>
                <w:tcPr>
                  <w:tcW w:w="162" w:type="pct"/>
                  <w:tcBorders>
                    <w:top w:val="single" w:sz="4" w:space="0" w:color="auto"/>
                    <w:bottom w:val="nil"/>
                    <w:right w:val="nil"/>
                  </w:tcBorders>
                  <w:shd w:val="clear" w:color="auto" w:fill="auto"/>
                  <w:noWrap/>
                  <w:vAlign w:val="bottom"/>
                  <w:hideMark/>
                </w:tcPr>
                <w:p w14:paraId="2432FDAB"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1</w:t>
                  </w:r>
                </w:p>
              </w:tc>
              <w:tc>
                <w:tcPr>
                  <w:tcW w:w="468" w:type="pct"/>
                  <w:tcBorders>
                    <w:top w:val="single" w:sz="4" w:space="0" w:color="auto"/>
                    <w:left w:val="nil"/>
                    <w:bottom w:val="nil"/>
                    <w:right w:val="nil"/>
                  </w:tcBorders>
                  <w:shd w:val="clear" w:color="auto" w:fill="auto"/>
                  <w:noWrap/>
                  <w:vAlign w:val="bottom"/>
                </w:tcPr>
                <w:p w14:paraId="533A5B8B"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YES</w:t>
                  </w:r>
                </w:p>
              </w:tc>
              <w:tc>
                <w:tcPr>
                  <w:tcW w:w="713" w:type="pct"/>
                  <w:tcBorders>
                    <w:top w:val="single" w:sz="4" w:space="0" w:color="auto"/>
                    <w:left w:val="nil"/>
                    <w:bottom w:val="nil"/>
                    <w:right w:val="nil"/>
                  </w:tcBorders>
                  <w:shd w:val="clear" w:color="auto" w:fill="auto"/>
                  <w:noWrap/>
                  <w:vAlign w:val="bottom"/>
                  <w:hideMark/>
                </w:tcPr>
                <w:p w14:paraId="00D6B5D9"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Multi-species probiotic</w:t>
                  </w:r>
                </w:p>
              </w:tc>
              <w:tc>
                <w:tcPr>
                  <w:tcW w:w="1397" w:type="pct"/>
                  <w:tcBorders>
                    <w:top w:val="single" w:sz="4" w:space="0" w:color="auto"/>
                    <w:left w:val="nil"/>
                    <w:bottom w:val="nil"/>
                    <w:right w:val="nil"/>
                  </w:tcBorders>
                  <w:shd w:val="clear" w:color="auto" w:fill="auto"/>
                  <w:noWrap/>
                  <w:vAlign w:val="bottom"/>
                  <w:hideMark/>
                </w:tcPr>
                <w:p w14:paraId="480AEAD9" w14:textId="77777777" w:rsidR="00FA1DAA" w:rsidRPr="00BF5CDC" w:rsidRDefault="00FA1DAA" w:rsidP="00FA1DAA">
                  <w:pPr>
                    <w:rPr>
                      <w:rFonts w:cs="Calibri"/>
                      <w:sz w:val="18"/>
                      <w:szCs w:val="18"/>
                      <w:lang w:val="es-ES" w:eastAsia="en-GB"/>
                    </w:rPr>
                  </w:pPr>
                  <w:proofErr w:type="spellStart"/>
                  <w:r w:rsidRPr="00BF5CDC">
                    <w:rPr>
                      <w:rFonts w:cs="Calibri"/>
                      <w:sz w:val="18"/>
                      <w:szCs w:val="18"/>
                      <w:lang w:val="es-ES" w:eastAsia="en-GB"/>
                    </w:rPr>
                    <w:t>Multi-species</w:t>
                  </w:r>
                  <w:proofErr w:type="spellEnd"/>
                  <w:r w:rsidRPr="00BF5CDC">
                    <w:rPr>
                      <w:rFonts w:cs="Calibri"/>
                      <w:sz w:val="18"/>
                      <w:szCs w:val="18"/>
                      <w:lang w:val="es-ES" w:eastAsia="en-GB"/>
                    </w:rPr>
                    <w:t xml:space="preserve"> </w:t>
                  </w:r>
                  <w:proofErr w:type="spellStart"/>
                  <w:r w:rsidRPr="00BF5CDC">
                    <w:rPr>
                      <w:rFonts w:cs="Calibri"/>
                      <w:sz w:val="18"/>
                      <w:szCs w:val="18"/>
                      <w:lang w:val="es-ES" w:eastAsia="en-GB"/>
                    </w:rPr>
                    <w:t>probiotic</w:t>
                  </w:r>
                  <w:proofErr w:type="spellEnd"/>
                  <w:r w:rsidRPr="00BF5CDC">
                    <w:rPr>
                      <w:rFonts w:cs="Calibri"/>
                      <w:sz w:val="18"/>
                      <w:szCs w:val="18"/>
                      <w:lang w:val="es-ES" w:eastAsia="en-GB"/>
                    </w:rPr>
                    <w:t xml:space="preserve"> + 1,3/1,6 beta-</w:t>
                  </w:r>
                  <w:proofErr w:type="spellStart"/>
                  <w:r w:rsidRPr="00BF5CDC">
                    <w:rPr>
                      <w:rFonts w:cs="Calibri"/>
                      <w:sz w:val="18"/>
                      <w:szCs w:val="18"/>
                      <w:lang w:val="es-ES" w:eastAsia="en-GB"/>
                    </w:rPr>
                    <w:t>glucanen</w:t>
                  </w:r>
                  <w:proofErr w:type="spellEnd"/>
                  <w:r w:rsidRPr="00BF5CDC">
                    <w:rPr>
                      <w:rFonts w:cs="Calibri"/>
                      <w:sz w:val="18"/>
                      <w:szCs w:val="18"/>
                      <w:lang w:val="es-ES" w:eastAsia="en-GB"/>
                    </w:rPr>
                    <w:t xml:space="preserve"> </w:t>
                  </w:r>
                </w:p>
              </w:tc>
              <w:tc>
                <w:tcPr>
                  <w:tcW w:w="1607" w:type="pct"/>
                  <w:tcBorders>
                    <w:top w:val="single" w:sz="4" w:space="0" w:color="auto"/>
                    <w:left w:val="nil"/>
                    <w:bottom w:val="nil"/>
                    <w:right w:val="nil"/>
                  </w:tcBorders>
                  <w:shd w:val="clear" w:color="auto" w:fill="auto"/>
                  <w:noWrap/>
                  <w:vAlign w:val="bottom"/>
                  <w:hideMark/>
                </w:tcPr>
                <w:p w14:paraId="65E05655"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Multi-species probiotic + 1,3/1,6 beta-glucans + tannin</w:t>
                  </w:r>
                </w:p>
              </w:tc>
              <w:tc>
                <w:tcPr>
                  <w:tcW w:w="653" w:type="pct"/>
                  <w:tcBorders>
                    <w:top w:val="single" w:sz="4" w:space="0" w:color="auto"/>
                    <w:left w:val="nil"/>
                    <w:bottom w:val="nil"/>
                  </w:tcBorders>
                  <w:shd w:val="clear" w:color="auto" w:fill="auto"/>
                  <w:noWrap/>
                  <w:vAlign w:val="bottom"/>
                  <w:hideMark/>
                </w:tcPr>
                <w:p w14:paraId="6A5CD577"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Butyrate + threonine</w:t>
                  </w:r>
                </w:p>
              </w:tc>
            </w:tr>
            <w:tr w:rsidR="00FA1DAA" w:rsidRPr="00340020" w14:paraId="62C274DC" w14:textId="77777777" w:rsidTr="0088743E">
              <w:trPr>
                <w:trHeight w:val="290"/>
              </w:trPr>
              <w:tc>
                <w:tcPr>
                  <w:tcW w:w="162" w:type="pct"/>
                  <w:tcBorders>
                    <w:top w:val="nil"/>
                    <w:bottom w:val="nil"/>
                    <w:right w:val="nil"/>
                  </w:tcBorders>
                  <w:shd w:val="clear" w:color="auto" w:fill="auto"/>
                  <w:noWrap/>
                  <w:vAlign w:val="bottom"/>
                  <w:hideMark/>
                </w:tcPr>
                <w:p w14:paraId="7DCB8C3F"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2</w:t>
                  </w:r>
                </w:p>
              </w:tc>
              <w:tc>
                <w:tcPr>
                  <w:tcW w:w="468" w:type="pct"/>
                  <w:tcBorders>
                    <w:top w:val="nil"/>
                    <w:left w:val="nil"/>
                    <w:bottom w:val="nil"/>
                    <w:right w:val="nil"/>
                  </w:tcBorders>
                  <w:shd w:val="clear" w:color="auto" w:fill="auto"/>
                  <w:noWrap/>
                  <w:vAlign w:val="bottom"/>
                </w:tcPr>
                <w:p w14:paraId="04D0453A"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YES</w:t>
                  </w:r>
                </w:p>
              </w:tc>
              <w:tc>
                <w:tcPr>
                  <w:tcW w:w="713" w:type="pct"/>
                  <w:tcBorders>
                    <w:top w:val="nil"/>
                    <w:left w:val="nil"/>
                    <w:bottom w:val="nil"/>
                    <w:right w:val="nil"/>
                  </w:tcBorders>
                  <w:shd w:val="clear" w:color="auto" w:fill="auto"/>
                  <w:noWrap/>
                  <w:hideMark/>
                </w:tcPr>
                <w:p w14:paraId="44FC6AC2"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Multi-species probiotic</w:t>
                  </w:r>
                </w:p>
              </w:tc>
              <w:tc>
                <w:tcPr>
                  <w:tcW w:w="1397" w:type="pct"/>
                  <w:tcBorders>
                    <w:top w:val="nil"/>
                    <w:left w:val="nil"/>
                    <w:bottom w:val="nil"/>
                    <w:right w:val="nil"/>
                  </w:tcBorders>
                  <w:shd w:val="clear" w:color="auto" w:fill="auto"/>
                  <w:noWrap/>
                  <w:vAlign w:val="bottom"/>
                  <w:hideMark/>
                </w:tcPr>
                <w:p w14:paraId="22986028"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1,3/1,6 beta-</w:t>
                  </w:r>
                  <w:proofErr w:type="spellStart"/>
                  <w:r w:rsidRPr="00FA1DAA">
                    <w:rPr>
                      <w:rFonts w:cs="Calibri"/>
                      <w:sz w:val="18"/>
                      <w:szCs w:val="18"/>
                      <w:lang w:val="en-US" w:eastAsia="en-GB"/>
                    </w:rPr>
                    <w:t>glucanen</w:t>
                  </w:r>
                  <w:proofErr w:type="spellEnd"/>
                </w:p>
              </w:tc>
              <w:tc>
                <w:tcPr>
                  <w:tcW w:w="1607" w:type="pct"/>
                  <w:tcBorders>
                    <w:top w:val="nil"/>
                    <w:left w:val="nil"/>
                    <w:bottom w:val="nil"/>
                    <w:right w:val="nil"/>
                  </w:tcBorders>
                  <w:shd w:val="clear" w:color="auto" w:fill="auto"/>
                  <w:noWrap/>
                  <w:vAlign w:val="bottom"/>
                  <w:hideMark/>
                </w:tcPr>
                <w:p w14:paraId="4AADA38A"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 xml:space="preserve">1,3/1,6 beta-glucans + </w:t>
                  </w:r>
                  <w:proofErr w:type="spellStart"/>
                  <w:r w:rsidRPr="00FA1DAA">
                    <w:rPr>
                      <w:rFonts w:cs="Calibri"/>
                      <w:sz w:val="18"/>
                      <w:szCs w:val="18"/>
                      <w:lang w:val="en-US" w:eastAsia="en-GB"/>
                    </w:rPr>
                    <w:t>artemisin</w:t>
                  </w:r>
                  <w:proofErr w:type="spellEnd"/>
                  <w:r w:rsidRPr="00FA1DAA">
                    <w:rPr>
                      <w:rFonts w:cs="Calibri"/>
                      <w:sz w:val="18"/>
                      <w:szCs w:val="18"/>
                      <w:lang w:val="en-US" w:eastAsia="en-GB"/>
                    </w:rPr>
                    <w:t xml:space="preserve"> + curcumin</w:t>
                  </w:r>
                </w:p>
              </w:tc>
              <w:tc>
                <w:tcPr>
                  <w:tcW w:w="653" w:type="pct"/>
                  <w:tcBorders>
                    <w:top w:val="nil"/>
                    <w:left w:val="nil"/>
                    <w:bottom w:val="nil"/>
                  </w:tcBorders>
                  <w:shd w:val="clear" w:color="auto" w:fill="auto"/>
                  <w:noWrap/>
                  <w:vAlign w:val="bottom"/>
                  <w:hideMark/>
                </w:tcPr>
                <w:p w14:paraId="0267CA24"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Butyrate + threonine</w:t>
                  </w:r>
                </w:p>
              </w:tc>
            </w:tr>
            <w:tr w:rsidR="00FA1DAA" w:rsidRPr="00340020" w14:paraId="09FD4375" w14:textId="77777777" w:rsidTr="0088743E">
              <w:trPr>
                <w:trHeight w:val="290"/>
              </w:trPr>
              <w:tc>
                <w:tcPr>
                  <w:tcW w:w="162" w:type="pct"/>
                  <w:tcBorders>
                    <w:top w:val="nil"/>
                    <w:bottom w:val="nil"/>
                    <w:right w:val="nil"/>
                  </w:tcBorders>
                  <w:shd w:val="clear" w:color="auto" w:fill="auto"/>
                  <w:noWrap/>
                  <w:vAlign w:val="bottom"/>
                  <w:hideMark/>
                </w:tcPr>
                <w:p w14:paraId="5909F516"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3</w:t>
                  </w:r>
                </w:p>
              </w:tc>
              <w:tc>
                <w:tcPr>
                  <w:tcW w:w="468" w:type="pct"/>
                  <w:tcBorders>
                    <w:top w:val="nil"/>
                    <w:left w:val="nil"/>
                    <w:bottom w:val="nil"/>
                    <w:right w:val="nil"/>
                  </w:tcBorders>
                  <w:shd w:val="clear" w:color="auto" w:fill="auto"/>
                  <w:noWrap/>
                  <w:vAlign w:val="bottom"/>
                </w:tcPr>
                <w:p w14:paraId="6E0C43AD"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YES</w:t>
                  </w:r>
                </w:p>
              </w:tc>
              <w:tc>
                <w:tcPr>
                  <w:tcW w:w="713" w:type="pct"/>
                  <w:tcBorders>
                    <w:top w:val="nil"/>
                    <w:left w:val="nil"/>
                    <w:bottom w:val="nil"/>
                    <w:right w:val="nil"/>
                  </w:tcBorders>
                  <w:shd w:val="clear" w:color="auto" w:fill="auto"/>
                  <w:noWrap/>
                  <w:hideMark/>
                </w:tcPr>
                <w:p w14:paraId="678D3942"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Multi-species probiotic</w:t>
                  </w:r>
                </w:p>
              </w:tc>
              <w:tc>
                <w:tcPr>
                  <w:tcW w:w="1397" w:type="pct"/>
                  <w:tcBorders>
                    <w:top w:val="nil"/>
                    <w:left w:val="nil"/>
                    <w:bottom w:val="nil"/>
                    <w:right w:val="nil"/>
                  </w:tcBorders>
                  <w:shd w:val="clear" w:color="auto" w:fill="auto"/>
                  <w:noWrap/>
                  <w:vAlign w:val="bottom"/>
                  <w:hideMark/>
                </w:tcPr>
                <w:p w14:paraId="2FDA8B18"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Multi-species probiotic + Saponins</w:t>
                  </w:r>
                </w:p>
              </w:tc>
              <w:tc>
                <w:tcPr>
                  <w:tcW w:w="1607" w:type="pct"/>
                  <w:tcBorders>
                    <w:top w:val="nil"/>
                    <w:left w:val="nil"/>
                    <w:bottom w:val="nil"/>
                    <w:right w:val="nil"/>
                  </w:tcBorders>
                  <w:shd w:val="clear" w:color="auto" w:fill="auto"/>
                  <w:noWrap/>
                  <w:vAlign w:val="bottom"/>
                  <w:hideMark/>
                </w:tcPr>
                <w:p w14:paraId="6E16E3B2"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 xml:space="preserve">Multi-species probiotic + Saponins + tannin </w:t>
                  </w:r>
                </w:p>
              </w:tc>
              <w:tc>
                <w:tcPr>
                  <w:tcW w:w="653" w:type="pct"/>
                  <w:tcBorders>
                    <w:top w:val="nil"/>
                    <w:left w:val="nil"/>
                    <w:bottom w:val="nil"/>
                  </w:tcBorders>
                  <w:shd w:val="clear" w:color="auto" w:fill="auto"/>
                  <w:noWrap/>
                  <w:vAlign w:val="bottom"/>
                  <w:hideMark/>
                </w:tcPr>
                <w:p w14:paraId="7F2A048B"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Butyrate + threonine</w:t>
                  </w:r>
                </w:p>
              </w:tc>
            </w:tr>
            <w:tr w:rsidR="00FA1DAA" w:rsidRPr="00340020" w14:paraId="4E71D8A0" w14:textId="77777777" w:rsidTr="0088743E">
              <w:trPr>
                <w:trHeight w:val="290"/>
              </w:trPr>
              <w:tc>
                <w:tcPr>
                  <w:tcW w:w="162" w:type="pct"/>
                  <w:tcBorders>
                    <w:top w:val="nil"/>
                    <w:bottom w:val="single" w:sz="4" w:space="0" w:color="auto"/>
                    <w:right w:val="nil"/>
                  </w:tcBorders>
                  <w:shd w:val="clear" w:color="auto" w:fill="auto"/>
                  <w:noWrap/>
                  <w:vAlign w:val="bottom"/>
                  <w:hideMark/>
                </w:tcPr>
                <w:p w14:paraId="541195D3"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4</w:t>
                  </w:r>
                </w:p>
              </w:tc>
              <w:tc>
                <w:tcPr>
                  <w:tcW w:w="468" w:type="pct"/>
                  <w:tcBorders>
                    <w:top w:val="nil"/>
                    <w:left w:val="nil"/>
                    <w:bottom w:val="single" w:sz="4" w:space="0" w:color="auto"/>
                    <w:right w:val="nil"/>
                  </w:tcBorders>
                  <w:shd w:val="clear" w:color="auto" w:fill="auto"/>
                  <w:noWrap/>
                  <w:vAlign w:val="bottom"/>
                </w:tcPr>
                <w:p w14:paraId="41ADB3F1"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YES</w:t>
                  </w:r>
                </w:p>
              </w:tc>
              <w:tc>
                <w:tcPr>
                  <w:tcW w:w="713" w:type="pct"/>
                  <w:tcBorders>
                    <w:top w:val="nil"/>
                    <w:left w:val="nil"/>
                    <w:bottom w:val="single" w:sz="4" w:space="0" w:color="auto"/>
                    <w:right w:val="nil"/>
                  </w:tcBorders>
                  <w:shd w:val="clear" w:color="auto" w:fill="auto"/>
                  <w:noWrap/>
                  <w:hideMark/>
                </w:tcPr>
                <w:p w14:paraId="3FDCFACB"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Multi-species probiotic</w:t>
                  </w:r>
                </w:p>
              </w:tc>
              <w:tc>
                <w:tcPr>
                  <w:tcW w:w="1397" w:type="pct"/>
                  <w:tcBorders>
                    <w:top w:val="nil"/>
                    <w:left w:val="nil"/>
                    <w:bottom w:val="single" w:sz="4" w:space="0" w:color="auto"/>
                    <w:right w:val="nil"/>
                  </w:tcBorders>
                  <w:shd w:val="clear" w:color="auto" w:fill="auto"/>
                  <w:noWrap/>
                  <w:vAlign w:val="bottom"/>
                  <w:hideMark/>
                </w:tcPr>
                <w:p w14:paraId="1B8E1A36"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Saponins</w:t>
                  </w:r>
                </w:p>
              </w:tc>
              <w:tc>
                <w:tcPr>
                  <w:tcW w:w="1607" w:type="pct"/>
                  <w:tcBorders>
                    <w:top w:val="nil"/>
                    <w:left w:val="nil"/>
                    <w:bottom w:val="single" w:sz="4" w:space="0" w:color="auto"/>
                    <w:right w:val="nil"/>
                  </w:tcBorders>
                  <w:shd w:val="clear" w:color="auto" w:fill="auto"/>
                  <w:noWrap/>
                  <w:vAlign w:val="bottom"/>
                  <w:hideMark/>
                </w:tcPr>
                <w:p w14:paraId="359042A3"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 xml:space="preserve">Saponins + </w:t>
                  </w:r>
                  <w:proofErr w:type="spellStart"/>
                  <w:r w:rsidRPr="00FA1DAA">
                    <w:rPr>
                      <w:rFonts w:cs="Calibri"/>
                      <w:sz w:val="18"/>
                      <w:szCs w:val="18"/>
                      <w:lang w:val="en-US" w:eastAsia="en-GB"/>
                    </w:rPr>
                    <w:t>artemisin</w:t>
                  </w:r>
                  <w:proofErr w:type="spellEnd"/>
                  <w:r w:rsidRPr="00FA1DAA">
                    <w:rPr>
                      <w:rFonts w:cs="Calibri"/>
                      <w:sz w:val="18"/>
                      <w:szCs w:val="18"/>
                      <w:lang w:val="en-US" w:eastAsia="en-GB"/>
                    </w:rPr>
                    <w:t xml:space="preserve"> + curcumin</w:t>
                  </w:r>
                </w:p>
              </w:tc>
              <w:tc>
                <w:tcPr>
                  <w:tcW w:w="653" w:type="pct"/>
                  <w:tcBorders>
                    <w:top w:val="nil"/>
                    <w:left w:val="nil"/>
                    <w:bottom w:val="single" w:sz="4" w:space="0" w:color="auto"/>
                  </w:tcBorders>
                  <w:shd w:val="clear" w:color="auto" w:fill="auto"/>
                  <w:noWrap/>
                  <w:vAlign w:val="bottom"/>
                  <w:hideMark/>
                </w:tcPr>
                <w:p w14:paraId="7A5949D1"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Butyrate + threonine</w:t>
                  </w:r>
                </w:p>
              </w:tc>
            </w:tr>
            <w:tr w:rsidR="00FA1DAA" w:rsidRPr="00340020" w14:paraId="0D5066B0" w14:textId="77777777" w:rsidTr="0088743E">
              <w:trPr>
                <w:trHeight w:val="290"/>
              </w:trPr>
              <w:tc>
                <w:tcPr>
                  <w:tcW w:w="162" w:type="pct"/>
                  <w:tcBorders>
                    <w:top w:val="single" w:sz="4" w:space="0" w:color="auto"/>
                    <w:right w:val="nil"/>
                  </w:tcBorders>
                  <w:shd w:val="clear" w:color="auto" w:fill="auto"/>
                  <w:noWrap/>
                  <w:vAlign w:val="bottom"/>
                  <w:hideMark/>
                </w:tcPr>
                <w:p w14:paraId="00905C27"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5</w:t>
                  </w:r>
                </w:p>
              </w:tc>
              <w:tc>
                <w:tcPr>
                  <w:tcW w:w="468" w:type="pct"/>
                  <w:tcBorders>
                    <w:top w:val="single" w:sz="4" w:space="0" w:color="auto"/>
                    <w:left w:val="nil"/>
                    <w:right w:val="nil"/>
                  </w:tcBorders>
                  <w:shd w:val="clear" w:color="auto" w:fill="auto"/>
                  <w:noWrap/>
                  <w:vAlign w:val="bottom"/>
                </w:tcPr>
                <w:p w14:paraId="3D2BF878"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YES</w:t>
                  </w:r>
                </w:p>
              </w:tc>
              <w:tc>
                <w:tcPr>
                  <w:tcW w:w="4370" w:type="pct"/>
                  <w:gridSpan w:val="4"/>
                  <w:tcBorders>
                    <w:top w:val="single" w:sz="4" w:space="0" w:color="auto"/>
                    <w:left w:val="nil"/>
                  </w:tcBorders>
                  <w:shd w:val="clear" w:color="auto" w:fill="D9D9D9" w:themeFill="background1" w:themeFillShade="D9"/>
                  <w:noWrap/>
                  <w:vAlign w:val="bottom"/>
                  <w:hideMark/>
                </w:tcPr>
                <w:p w14:paraId="5AE7E531" w14:textId="77777777" w:rsidR="00FA1DAA" w:rsidRPr="00BF5CDC" w:rsidRDefault="00FA1DAA" w:rsidP="00FA1DAA">
                  <w:pPr>
                    <w:jc w:val="center"/>
                    <w:rPr>
                      <w:rFonts w:cs="Calibri"/>
                      <w:sz w:val="18"/>
                      <w:szCs w:val="18"/>
                      <w:lang w:val="es-ES" w:eastAsia="en-GB"/>
                    </w:rPr>
                  </w:pPr>
                  <w:proofErr w:type="spellStart"/>
                  <w:r w:rsidRPr="00BF5CDC">
                    <w:rPr>
                      <w:rFonts w:cs="Calibri"/>
                      <w:sz w:val="18"/>
                      <w:szCs w:val="18"/>
                      <w:lang w:val="es-ES" w:eastAsia="en-GB"/>
                    </w:rPr>
                    <w:t>Anticox</w:t>
                  </w:r>
                  <w:proofErr w:type="spellEnd"/>
                  <w:r w:rsidRPr="00BF5CDC">
                    <w:rPr>
                      <w:rFonts w:cs="Calibri"/>
                      <w:sz w:val="18"/>
                      <w:szCs w:val="18"/>
                      <w:lang w:val="es-ES" w:eastAsia="en-GB"/>
                    </w:rPr>
                    <w:t xml:space="preserve"> (</w:t>
                  </w:r>
                  <w:proofErr w:type="spellStart"/>
                  <w:r w:rsidRPr="00BF5CDC">
                    <w:rPr>
                      <w:rFonts w:cs="Calibri"/>
                      <w:sz w:val="18"/>
                      <w:szCs w:val="18"/>
                      <w:lang w:val="es-ES" w:eastAsia="en-GB"/>
                    </w:rPr>
                    <w:t>chemical</w:t>
                  </w:r>
                  <w:proofErr w:type="spellEnd"/>
                  <w:r w:rsidRPr="00BF5CDC">
                    <w:rPr>
                      <w:rFonts w:cs="Calibri"/>
                      <w:sz w:val="18"/>
                      <w:szCs w:val="18"/>
                      <w:lang w:val="es-ES" w:eastAsia="en-GB"/>
                    </w:rPr>
                    <w:t xml:space="preserve">: </w:t>
                  </w:r>
                  <w:proofErr w:type="spellStart"/>
                  <w:r w:rsidRPr="00BF5CDC">
                    <w:rPr>
                      <w:rFonts w:cs="Calibri"/>
                      <w:sz w:val="18"/>
                      <w:szCs w:val="18"/>
                      <w:lang w:val="es-ES" w:eastAsia="en-GB"/>
                    </w:rPr>
                    <w:t>Clinacox</w:t>
                  </w:r>
                  <w:proofErr w:type="spellEnd"/>
                  <w:r w:rsidRPr="00BF5CDC">
                    <w:rPr>
                      <w:rFonts w:cs="Calibri"/>
                      <w:sz w:val="18"/>
                      <w:szCs w:val="18"/>
                      <w:lang w:val="es-ES" w:eastAsia="en-GB"/>
                    </w:rPr>
                    <w:t xml:space="preserve"> (</w:t>
                  </w:r>
                  <w:proofErr w:type="spellStart"/>
                  <w:r w:rsidRPr="00BF5CDC">
                    <w:rPr>
                      <w:rFonts w:cs="Calibri"/>
                      <w:sz w:val="18"/>
                      <w:szCs w:val="18"/>
                      <w:lang w:val="es-ES" w:eastAsia="en-GB"/>
                    </w:rPr>
                    <w:t>Diclazuril</w:t>
                  </w:r>
                  <w:proofErr w:type="spellEnd"/>
                  <w:r w:rsidRPr="00BF5CDC">
                    <w:rPr>
                      <w:rFonts w:cs="Calibri"/>
                      <w:sz w:val="18"/>
                      <w:szCs w:val="18"/>
                      <w:lang w:val="es-ES" w:eastAsia="en-GB"/>
                    </w:rPr>
                    <w:t>)</w:t>
                  </w:r>
                </w:p>
              </w:tc>
            </w:tr>
            <w:tr w:rsidR="00FA1DAA" w:rsidRPr="00340020" w14:paraId="43124084" w14:textId="77777777" w:rsidTr="0088743E">
              <w:trPr>
                <w:trHeight w:val="290"/>
              </w:trPr>
              <w:tc>
                <w:tcPr>
                  <w:tcW w:w="162" w:type="pct"/>
                  <w:tcBorders>
                    <w:top w:val="nil"/>
                    <w:bottom w:val="single" w:sz="4" w:space="0" w:color="auto"/>
                    <w:right w:val="nil"/>
                  </w:tcBorders>
                  <w:shd w:val="clear" w:color="auto" w:fill="auto"/>
                  <w:noWrap/>
                  <w:vAlign w:val="bottom"/>
                  <w:hideMark/>
                </w:tcPr>
                <w:p w14:paraId="60803844"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6</w:t>
                  </w:r>
                </w:p>
              </w:tc>
              <w:tc>
                <w:tcPr>
                  <w:tcW w:w="468" w:type="pct"/>
                  <w:tcBorders>
                    <w:top w:val="nil"/>
                    <w:left w:val="nil"/>
                    <w:bottom w:val="single" w:sz="4" w:space="0" w:color="auto"/>
                    <w:right w:val="nil"/>
                  </w:tcBorders>
                  <w:shd w:val="clear" w:color="auto" w:fill="auto"/>
                  <w:noWrap/>
                  <w:vAlign w:val="bottom"/>
                </w:tcPr>
                <w:p w14:paraId="31FB69BD" w14:textId="77777777" w:rsidR="00FA1DAA" w:rsidRPr="00FA1DAA" w:rsidRDefault="00FA1DAA" w:rsidP="00FA1DAA">
                  <w:pPr>
                    <w:rPr>
                      <w:rFonts w:cs="Calibri"/>
                      <w:sz w:val="18"/>
                      <w:szCs w:val="18"/>
                      <w:lang w:val="en-US" w:eastAsia="en-GB"/>
                    </w:rPr>
                  </w:pPr>
                  <w:r w:rsidRPr="00FA1DAA">
                    <w:rPr>
                      <w:rFonts w:cs="Calibri"/>
                      <w:sz w:val="18"/>
                      <w:szCs w:val="18"/>
                      <w:lang w:val="en-US" w:eastAsia="en-GB"/>
                    </w:rPr>
                    <w:t>YES</w:t>
                  </w:r>
                </w:p>
              </w:tc>
              <w:tc>
                <w:tcPr>
                  <w:tcW w:w="4370" w:type="pct"/>
                  <w:gridSpan w:val="4"/>
                  <w:tcBorders>
                    <w:top w:val="nil"/>
                    <w:left w:val="nil"/>
                    <w:bottom w:val="single" w:sz="4" w:space="0" w:color="auto"/>
                  </w:tcBorders>
                  <w:shd w:val="clear" w:color="auto" w:fill="D9D9D9" w:themeFill="background1" w:themeFillShade="D9"/>
                  <w:noWrap/>
                  <w:vAlign w:val="bottom"/>
                  <w:hideMark/>
                </w:tcPr>
                <w:p w14:paraId="151433C1" w14:textId="77777777" w:rsidR="00FA1DAA" w:rsidRPr="00FA1DAA" w:rsidRDefault="00FA1DAA" w:rsidP="00FA1DAA">
                  <w:pPr>
                    <w:jc w:val="center"/>
                    <w:rPr>
                      <w:rFonts w:cs="Calibri"/>
                      <w:sz w:val="18"/>
                      <w:szCs w:val="18"/>
                      <w:lang w:val="en-US" w:eastAsia="en-GB"/>
                    </w:rPr>
                  </w:pPr>
                  <w:r w:rsidRPr="00FA1DAA">
                    <w:rPr>
                      <w:rFonts w:cs="Calibri"/>
                      <w:sz w:val="18"/>
                      <w:szCs w:val="18"/>
                      <w:lang w:val="en-US" w:eastAsia="en-GB"/>
                    </w:rPr>
                    <w:t xml:space="preserve">No </w:t>
                  </w:r>
                  <w:proofErr w:type="spellStart"/>
                  <w:r w:rsidRPr="00FA1DAA">
                    <w:rPr>
                      <w:rFonts w:cs="Calibri"/>
                      <w:sz w:val="18"/>
                      <w:szCs w:val="18"/>
                      <w:lang w:val="en-US" w:eastAsia="en-GB"/>
                    </w:rPr>
                    <w:t>anticox</w:t>
                  </w:r>
                  <w:proofErr w:type="spellEnd"/>
                </w:p>
              </w:tc>
            </w:tr>
          </w:tbl>
          <w:p w14:paraId="4B4C3946" w14:textId="77777777" w:rsidR="0088743E" w:rsidRDefault="00FA1DAA" w:rsidP="00FA1DAA">
            <w:pPr>
              <w:rPr>
                <w:rFonts w:ascii="Verdana" w:hAnsi="Verdana"/>
                <w:bCs/>
                <w:sz w:val="18"/>
                <w:szCs w:val="18"/>
                <w:lang w:val="en-GB"/>
              </w:rPr>
            </w:pPr>
            <w:r>
              <w:rPr>
                <w:rFonts w:ascii="Verdana" w:hAnsi="Verdana"/>
                <w:sz w:val="18"/>
                <w:szCs w:val="18"/>
                <w:lang w:val="en-GB"/>
              </w:rPr>
              <w:t>Results showed that: t</w:t>
            </w:r>
            <w:r w:rsidRPr="00FA1DAA">
              <w:rPr>
                <w:rFonts w:ascii="Verdana" w:hAnsi="Verdana"/>
                <w:bCs/>
                <w:sz w:val="18"/>
                <w:szCs w:val="18"/>
                <w:lang w:val="en-GB"/>
              </w:rPr>
              <w:t>reatments with the best results</w:t>
            </w:r>
            <w:r w:rsidR="0088743E">
              <w:rPr>
                <w:rFonts w:ascii="Verdana" w:hAnsi="Verdana"/>
                <w:bCs/>
                <w:sz w:val="18"/>
                <w:szCs w:val="18"/>
                <w:lang w:val="en-GB"/>
              </w:rPr>
              <w:t xml:space="preserve"> regarding performance</w:t>
            </w:r>
            <w:r w:rsidRPr="00FA1DAA">
              <w:rPr>
                <w:rFonts w:ascii="Verdana" w:hAnsi="Verdana"/>
                <w:bCs/>
                <w:sz w:val="18"/>
                <w:szCs w:val="18"/>
                <w:lang w:val="en-GB"/>
              </w:rPr>
              <w:t xml:space="preserve"> were</w:t>
            </w:r>
            <w:r>
              <w:rPr>
                <w:rFonts w:ascii="Verdana" w:hAnsi="Verdana"/>
                <w:bCs/>
                <w:sz w:val="18"/>
                <w:szCs w:val="18"/>
                <w:lang w:val="en-GB"/>
              </w:rPr>
              <w:t xml:space="preserve"> those combining (1) P</w:t>
            </w:r>
            <w:r w:rsidRPr="00FA1DAA">
              <w:rPr>
                <w:rFonts w:ascii="Verdana" w:hAnsi="Verdana"/>
                <w:bCs/>
                <w:sz w:val="18"/>
                <w:szCs w:val="18"/>
                <w:lang w:val="en-GB"/>
              </w:rPr>
              <w:t xml:space="preserve">robiotics + </w:t>
            </w:r>
            <w:r w:rsidRPr="00FA1DAA">
              <w:rPr>
                <w:rFonts w:ascii="Verdana" w:hAnsi="Verdana"/>
                <w:bCs/>
                <w:sz w:val="18"/>
                <w:szCs w:val="18"/>
              </w:rPr>
              <w:sym w:font="Symbol" w:char="F062"/>
            </w:r>
            <w:r w:rsidRPr="00FA1DAA">
              <w:rPr>
                <w:rFonts w:ascii="Verdana" w:hAnsi="Verdana"/>
                <w:bCs/>
                <w:sz w:val="18"/>
                <w:szCs w:val="18"/>
                <w:lang w:val="en-GB"/>
              </w:rPr>
              <w:t xml:space="preserve">-Glucans/Probiotics + </w:t>
            </w:r>
            <w:r w:rsidRPr="00FA1DAA">
              <w:rPr>
                <w:rFonts w:ascii="Verdana" w:hAnsi="Verdana"/>
                <w:bCs/>
                <w:sz w:val="18"/>
                <w:szCs w:val="18"/>
              </w:rPr>
              <w:sym w:font="Symbol" w:char="F062"/>
            </w:r>
            <w:r w:rsidRPr="00FA1DAA">
              <w:rPr>
                <w:rFonts w:ascii="Verdana" w:hAnsi="Verdana"/>
                <w:bCs/>
                <w:sz w:val="18"/>
                <w:szCs w:val="18"/>
                <w:lang w:val="en-GB"/>
              </w:rPr>
              <w:t>-Glucans + tannins/</w:t>
            </w:r>
            <w:proofErr w:type="spellStart"/>
            <w:r w:rsidRPr="00FA1DAA">
              <w:rPr>
                <w:rFonts w:ascii="Verdana" w:hAnsi="Verdana"/>
                <w:bCs/>
                <w:sz w:val="18"/>
                <w:szCs w:val="18"/>
                <w:lang w:val="en-GB"/>
              </w:rPr>
              <w:t>Butyrate+threonine</w:t>
            </w:r>
            <w:proofErr w:type="spellEnd"/>
            <w:r w:rsidRPr="00FA1DAA">
              <w:rPr>
                <w:rFonts w:ascii="Verdana" w:hAnsi="Verdana"/>
                <w:bCs/>
                <w:sz w:val="18"/>
                <w:szCs w:val="18"/>
                <w:lang w:val="en-GB"/>
              </w:rPr>
              <w:t xml:space="preserve"> (</w:t>
            </w:r>
            <w:proofErr w:type="spellStart"/>
            <w:r w:rsidRPr="00FA1DAA">
              <w:rPr>
                <w:rFonts w:ascii="Verdana" w:hAnsi="Verdana"/>
                <w:bCs/>
                <w:sz w:val="18"/>
                <w:szCs w:val="18"/>
                <w:lang w:val="en-GB"/>
              </w:rPr>
              <w:t>Trt</w:t>
            </w:r>
            <w:proofErr w:type="spellEnd"/>
            <w:r w:rsidRPr="00FA1DAA">
              <w:rPr>
                <w:rFonts w:ascii="Verdana" w:hAnsi="Verdana"/>
                <w:bCs/>
                <w:sz w:val="18"/>
                <w:szCs w:val="18"/>
                <w:lang w:val="en-GB"/>
              </w:rPr>
              <w:t xml:space="preserve"> 1)</w:t>
            </w:r>
            <w:r>
              <w:rPr>
                <w:rFonts w:ascii="Verdana" w:hAnsi="Verdana"/>
                <w:bCs/>
                <w:sz w:val="18"/>
                <w:szCs w:val="18"/>
                <w:lang w:val="en-GB"/>
              </w:rPr>
              <w:t xml:space="preserve"> or (2) </w:t>
            </w:r>
            <w:r w:rsidRPr="00FA1DAA">
              <w:rPr>
                <w:rFonts w:ascii="Verdana" w:hAnsi="Verdana"/>
                <w:bCs/>
                <w:sz w:val="18"/>
                <w:szCs w:val="18"/>
                <w:lang w:val="en-GB"/>
              </w:rPr>
              <w:t xml:space="preserve">Saponins/Saponins + </w:t>
            </w:r>
            <w:proofErr w:type="spellStart"/>
            <w:r w:rsidRPr="00FA1DAA">
              <w:rPr>
                <w:rFonts w:ascii="Verdana" w:hAnsi="Verdana"/>
                <w:bCs/>
                <w:sz w:val="18"/>
                <w:szCs w:val="18"/>
                <w:lang w:val="en-GB"/>
              </w:rPr>
              <w:t>artemisin</w:t>
            </w:r>
            <w:proofErr w:type="spellEnd"/>
            <w:r w:rsidRPr="00FA1DAA">
              <w:rPr>
                <w:rFonts w:ascii="Verdana" w:hAnsi="Verdana"/>
                <w:bCs/>
                <w:sz w:val="18"/>
                <w:szCs w:val="18"/>
                <w:lang w:val="en-GB"/>
              </w:rPr>
              <w:t xml:space="preserve"> + curcumin/</w:t>
            </w:r>
            <w:proofErr w:type="spellStart"/>
            <w:r w:rsidRPr="00FA1DAA">
              <w:rPr>
                <w:rFonts w:ascii="Verdana" w:hAnsi="Verdana"/>
                <w:bCs/>
                <w:sz w:val="18"/>
                <w:szCs w:val="18"/>
                <w:lang w:val="en-GB"/>
              </w:rPr>
              <w:t>Butyrate+threonine</w:t>
            </w:r>
            <w:proofErr w:type="spellEnd"/>
            <w:r w:rsidRPr="00FA1DAA">
              <w:rPr>
                <w:rFonts w:ascii="Verdana" w:hAnsi="Verdana"/>
                <w:bCs/>
                <w:sz w:val="18"/>
                <w:szCs w:val="18"/>
                <w:lang w:val="en-GB"/>
              </w:rPr>
              <w:t xml:space="preserve"> (</w:t>
            </w:r>
            <w:proofErr w:type="spellStart"/>
            <w:r w:rsidRPr="00FA1DAA">
              <w:rPr>
                <w:rFonts w:ascii="Verdana" w:hAnsi="Verdana"/>
                <w:bCs/>
                <w:sz w:val="18"/>
                <w:szCs w:val="18"/>
                <w:lang w:val="en-GB"/>
              </w:rPr>
              <w:t>Trt</w:t>
            </w:r>
            <w:proofErr w:type="spellEnd"/>
            <w:r w:rsidRPr="00FA1DAA">
              <w:rPr>
                <w:rFonts w:ascii="Verdana" w:hAnsi="Verdana"/>
                <w:bCs/>
                <w:sz w:val="18"/>
                <w:szCs w:val="18"/>
                <w:lang w:val="en-GB"/>
              </w:rPr>
              <w:t xml:space="preserve"> 4)</w:t>
            </w:r>
            <w:r w:rsidR="0088743E">
              <w:rPr>
                <w:rFonts w:ascii="Verdana" w:hAnsi="Verdana"/>
                <w:bCs/>
                <w:sz w:val="18"/>
                <w:szCs w:val="18"/>
                <w:lang w:val="en-GB"/>
              </w:rPr>
              <w:t>. The</w:t>
            </w:r>
            <w:r>
              <w:rPr>
                <w:rFonts w:ascii="Verdana" w:hAnsi="Verdana"/>
                <w:bCs/>
                <w:sz w:val="18"/>
                <w:szCs w:val="18"/>
                <w:lang w:val="en-GB"/>
              </w:rPr>
              <w:t xml:space="preserve"> results</w:t>
            </w:r>
            <w:r w:rsidR="0088743E">
              <w:rPr>
                <w:rFonts w:ascii="Verdana" w:hAnsi="Verdana"/>
                <w:bCs/>
                <w:sz w:val="18"/>
                <w:szCs w:val="18"/>
                <w:lang w:val="en-GB"/>
              </w:rPr>
              <w:t xml:space="preserve"> also</w:t>
            </w:r>
            <w:r>
              <w:rPr>
                <w:rFonts w:ascii="Verdana" w:hAnsi="Verdana"/>
                <w:bCs/>
                <w:sz w:val="18"/>
                <w:szCs w:val="18"/>
                <w:lang w:val="en-GB"/>
              </w:rPr>
              <w:t xml:space="preserve"> suggested that </w:t>
            </w:r>
            <w:r w:rsidRPr="00FA1DAA">
              <w:rPr>
                <w:rFonts w:ascii="Verdana" w:hAnsi="Verdana"/>
                <w:bCs/>
                <w:sz w:val="18"/>
                <w:szCs w:val="18"/>
                <w:lang w:val="en-GB"/>
              </w:rPr>
              <w:t>butyrate + threoni</w:t>
            </w:r>
            <w:r w:rsidR="008B091B">
              <w:rPr>
                <w:rFonts w:ascii="Verdana" w:hAnsi="Verdana"/>
                <w:bCs/>
                <w:sz w:val="18"/>
                <w:szCs w:val="18"/>
                <w:lang w:val="en-GB"/>
              </w:rPr>
              <w:t>ne supported broilers recovery</w:t>
            </w:r>
            <w:r w:rsidRPr="00FA1DAA">
              <w:rPr>
                <w:rFonts w:ascii="Verdana" w:hAnsi="Verdana"/>
                <w:bCs/>
                <w:sz w:val="18"/>
                <w:szCs w:val="18"/>
                <w:lang w:val="en-GB"/>
              </w:rPr>
              <w:t>.</w:t>
            </w:r>
            <w:r w:rsidR="0088743E">
              <w:rPr>
                <w:rFonts w:ascii="Verdana" w:hAnsi="Verdana"/>
                <w:bCs/>
                <w:sz w:val="18"/>
                <w:szCs w:val="18"/>
                <w:lang w:val="en-GB"/>
              </w:rPr>
              <w:t xml:space="preserve"> </w:t>
            </w:r>
          </w:p>
          <w:p w14:paraId="4DAC3D54" w14:textId="57F8E740" w:rsidR="00FA1DAA" w:rsidRDefault="0088743E" w:rsidP="00FA1DAA">
            <w:pPr>
              <w:rPr>
                <w:rFonts w:ascii="Verdana" w:hAnsi="Verdana"/>
                <w:bCs/>
                <w:sz w:val="18"/>
                <w:szCs w:val="18"/>
                <w:lang w:val="en-GB"/>
              </w:rPr>
            </w:pPr>
            <w:r>
              <w:rPr>
                <w:rFonts w:ascii="Verdana" w:hAnsi="Verdana"/>
                <w:bCs/>
                <w:sz w:val="18"/>
                <w:szCs w:val="18"/>
                <w:lang w:val="en-GB"/>
              </w:rPr>
              <w:t xml:space="preserve">With respect to the lesions and excretion, treatment 4 showed the best results. Further, data indicated that </w:t>
            </w:r>
            <w:r w:rsidRPr="0088743E">
              <w:rPr>
                <w:rFonts w:ascii="Verdana" w:hAnsi="Verdana"/>
                <w:bCs/>
                <w:sz w:val="18"/>
                <w:szCs w:val="18"/>
                <w:lang w:val="en-GB"/>
              </w:rPr>
              <w:t xml:space="preserve">other </w:t>
            </w:r>
            <w:r w:rsidRPr="0088743E">
              <w:rPr>
                <w:rFonts w:ascii="Verdana" w:hAnsi="Verdana"/>
                <w:bCs/>
                <w:i/>
                <w:sz w:val="18"/>
                <w:szCs w:val="18"/>
                <w:lang w:val="en-GB"/>
              </w:rPr>
              <w:t>Eimeria</w:t>
            </w:r>
            <w:r w:rsidRPr="0088743E">
              <w:rPr>
                <w:rFonts w:ascii="Verdana" w:hAnsi="Verdana"/>
                <w:bCs/>
                <w:sz w:val="18"/>
                <w:szCs w:val="18"/>
                <w:lang w:val="en-GB"/>
              </w:rPr>
              <w:t xml:space="preserve"> species than </w:t>
            </w:r>
            <w:r w:rsidRPr="0088743E">
              <w:rPr>
                <w:rFonts w:ascii="Verdana" w:hAnsi="Verdana"/>
                <w:bCs/>
                <w:i/>
                <w:sz w:val="18"/>
                <w:szCs w:val="18"/>
                <w:lang w:val="en-GB"/>
              </w:rPr>
              <w:t>E. maxima</w:t>
            </w:r>
            <w:r w:rsidRPr="0088743E">
              <w:rPr>
                <w:rFonts w:ascii="Verdana" w:hAnsi="Verdana"/>
                <w:bCs/>
                <w:sz w:val="18"/>
                <w:szCs w:val="18"/>
                <w:lang w:val="en-GB"/>
              </w:rPr>
              <w:t xml:space="preserve"> were more effectively controlled by anticoccidials or the dietary treatments compared to no treatment at all, but that </w:t>
            </w:r>
            <w:r w:rsidRPr="0088743E">
              <w:rPr>
                <w:rFonts w:ascii="Verdana" w:hAnsi="Verdana"/>
                <w:bCs/>
                <w:i/>
                <w:sz w:val="18"/>
                <w:szCs w:val="18"/>
                <w:lang w:val="en-GB"/>
              </w:rPr>
              <w:t>E. maxima</w:t>
            </w:r>
            <w:r w:rsidRPr="0088743E">
              <w:rPr>
                <w:rFonts w:ascii="Verdana" w:hAnsi="Verdana"/>
                <w:bCs/>
                <w:sz w:val="18"/>
                <w:szCs w:val="18"/>
                <w:lang w:val="en-GB"/>
              </w:rPr>
              <w:t xml:space="preserve"> overshadowed most of these effects. As especially </w:t>
            </w:r>
            <w:r w:rsidRPr="0088743E">
              <w:rPr>
                <w:rFonts w:ascii="Verdana" w:hAnsi="Verdana"/>
                <w:bCs/>
                <w:i/>
                <w:sz w:val="18"/>
                <w:szCs w:val="18"/>
                <w:lang w:val="en-GB"/>
              </w:rPr>
              <w:t>E. maxima</w:t>
            </w:r>
            <w:r w:rsidRPr="0088743E">
              <w:rPr>
                <w:rFonts w:ascii="Verdana" w:hAnsi="Verdana"/>
                <w:bCs/>
                <w:sz w:val="18"/>
                <w:szCs w:val="18"/>
                <w:lang w:val="en-GB"/>
              </w:rPr>
              <w:t xml:space="preserve"> could not be controlled sufficiently by the different treatments including the positive control, and with </w:t>
            </w:r>
            <w:r w:rsidRPr="0088743E">
              <w:rPr>
                <w:rFonts w:ascii="Verdana" w:hAnsi="Verdana"/>
                <w:bCs/>
                <w:i/>
                <w:sz w:val="18"/>
                <w:szCs w:val="18"/>
                <w:lang w:val="en-GB"/>
              </w:rPr>
              <w:t>E. maxima</w:t>
            </w:r>
            <w:r w:rsidRPr="0088743E">
              <w:rPr>
                <w:rFonts w:ascii="Verdana" w:hAnsi="Verdana"/>
                <w:bCs/>
                <w:sz w:val="18"/>
                <w:szCs w:val="18"/>
                <w:lang w:val="en-GB"/>
              </w:rPr>
              <w:t xml:space="preserve"> generally having the most impact on body weight and FCR, this may explain the lack of measurable effects on performance parameters.</w:t>
            </w:r>
          </w:p>
          <w:p w14:paraId="1F7B305F" w14:textId="75E6D1B1" w:rsidR="008B091B" w:rsidRPr="008B091B" w:rsidRDefault="00FA1DAA" w:rsidP="00A460B1">
            <w:pPr>
              <w:rPr>
                <w:rFonts w:ascii="Verdana" w:hAnsi="Verdana"/>
                <w:bCs/>
                <w:sz w:val="18"/>
                <w:szCs w:val="18"/>
                <w:lang w:val="en-GB"/>
              </w:rPr>
            </w:pPr>
            <w:r>
              <w:rPr>
                <w:rFonts w:ascii="Verdana" w:hAnsi="Verdana"/>
                <w:bCs/>
                <w:sz w:val="18"/>
                <w:szCs w:val="18"/>
                <w:lang w:val="en-GB"/>
              </w:rPr>
              <w:t xml:space="preserve">As here a combination of various products was tested, in </w:t>
            </w:r>
            <w:r w:rsidR="000845E6">
              <w:rPr>
                <w:rFonts w:ascii="Verdana" w:hAnsi="Verdana"/>
                <w:bCs/>
                <w:sz w:val="18"/>
                <w:szCs w:val="18"/>
                <w:lang w:val="en-GB"/>
              </w:rPr>
              <w:t>the follow up studies</w:t>
            </w:r>
            <w:r>
              <w:rPr>
                <w:rFonts w:ascii="Verdana" w:hAnsi="Verdana"/>
                <w:bCs/>
                <w:sz w:val="18"/>
                <w:szCs w:val="18"/>
                <w:lang w:val="en-GB"/>
              </w:rPr>
              <w:t xml:space="preserve"> </w:t>
            </w:r>
            <w:r w:rsidR="008B091B">
              <w:rPr>
                <w:rFonts w:ascii="Verdana" w:hAnsi="Verdana"/>
                <w:bCs/>
                <w:sz w:val="18"/>
                <w:szCs w:val="18"/>
                <w:lang w:val="en-GB"/>
              </w:rPr>
              <w:t xml:space="preserve">the various </w:t>
            </w:r>
            <w:r>
              <w:rPr>
                <w:rFonts w:ascii="Verdana" w:hAnsi="Verdana"/>
                <w:bCs/>
                <w:sz w:val="18"/>
                <w:szCs w:val="18"/>
                <w:lang w:val="en-GB"/>
              </w:rPr>
              <w:t xml:space="preserve">products </w:t>
            </w:r>
            <w:r w:rsidR="008B091B">
              <w:rPr>
                <w:rFonts w:ascii="Verdana" w:hAnsi="Verdana"/>
                <w:bCs/>
                <w:sz w:val="18"/>
                <w:szCs w:val="18"/>
                <w:lang w:val="en-GB"/>
              </w:rPr>
              <w:t>will be tested separately and in combination</w:t>
            </w:r>
            <w:r w:rsidR="000845E6">
              <w:rPr>
                <w:rFonts w:ascii="Verdana" w:hAnsi="Verdana"/>
                <w:bCs/>
                <w:sz w:val="18"/>
                <w:szCs w:val="18"/>
                <w:lang w:val="en-GB"/>
              </w:rPr>
              <w:t>, to get more insight in the actions of the separated products and their underlying mechanisms. As this is not possible in a single experiment, more follow up experiments are planned.</w:t>
            </w:r>
          </w:p>
          <w:p w14:paraId="2E4BFA08" w14:textId="77777777" w:rsidR="00C50938" w:rsidRPr="007C551A" w:rsidRDefault="00C50938" w:rsidP="00A460B1">
            <w:pPr>
              <w:rPr>
                <w:rFonts w:ascii="Verdana" w:hAnsi="Verdana"/>
                <w:sz w:val="18"/>
                <w:szCs w:val="18"/>
                <w:lang w:val="en-GB"/>
              </w:rPr>
            </w:pPr>
          </w:p>
        </w:tc>
      </w:tr>
      <w:tr w:rsidR="00C50938" w:rsidRPr="00340020" w14:paraId="4298C7F2" w14:textId="77777777" w:rsidTr="0088743E">
        <w:trPr>
          <w:trHeight w:val="876"/>
        </w:trPr>
        <w:tc>
          <w:tcPr>
            <w:tcW w:w="1271"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7789" w:type="dxa"/>
            <w:shd w:val="clear" w:color="auto" w:fill="auto"/>
          </w:tcPr>
          <w:p w14:paraId="7C1C01DC" w14:textId="56E33A67" w:rsidR="00C50938" w:rsidRPr="007C551A" w:rsidRDefault="000845E6" w:rsidP="00A460B1">
            <w:pPr>
              <w:rPr>
                <w:rFonts w:ascii="Verdana" w:hAnsi="Verdana"/>
                <w:sz w:val="18"/>
                <w:szCs w:val="18"/>
                <w:lang w:val="en-GB"/>
              </w:rPr>
            </w:pPr>
            <w:r>
              <w:rPr>
                <w:rFonts w:ascii="Verdana" w:hAnsi="Verdana"/>
                <w:sz w:val="18"/>
                <w:szCs w:val="18"/>
                <w:lang w:val="en-GB"/>
              </w:rPr>
              <w:t>For 2020, three experiments are planned:</w:t>
            </w:r>
          </w:p>
          <w:p w14:paraId="59803D25" w14:textId="388AB38F" w:rsidR="00C50938" w:rsidRDefault="000845E6" w:rsidP="000845E6">
            <w:pPr>
              <w:pStyle w:val="Lijstalinea"/>
              <w:numPr>
                <w:ilvl w:val="0"/>
                <w:numId w:val="22"/>
              </w:numPr>
              <w:rPr>
                <w:rFonts w:ascii="Verdana" w:hAnsi="Verdana"/>
                <w:sz w:val="18"/>
                <w:szCs w:val="18"/>
                <w:lang w:val="en-GB"/>
              </w:rPr>
            </w:pPr>
            <w:r>
              <w:rPr>
                <w:rFonts w:ascii="Verdana" w:hAnsi="Verdana"/>
                <w:sz w:val="18"/>
                <w:szCs w:val="18"/>
                <w:lang w:val="en-GB"/>
              </w:rPr>
              <w:t>Follow up study on infection dynamics</w:t>
            </w:r>
          </w:p>
          <w:p w14:paraId="3C174BF1" w14:textId="481303A9" w:rsidR="000845E6" w:rsidRDefault="000845E6" w:rsidP="000845E6">
            <w:pPr>
              <w:pStyle w:val="Lijstalinea"/>
              <w:numPr>
                <w:ilvl w:val="0"/>
                <w:numId w:val="22"/>
              </w:numPr>
              <w:rPr>
                <w:rFonts w:ascii="Verdana" w:hAnsi="Verdana"/>
                <w:sz w:val="18"/>
                <w:szCs w:val="18"/>
                <w:lang w:val="en-GB"/>
              </w:rPr>
            </w:pPr>
            <w:r>
              <w:rPr>
                <w:rFonts w:ascii="Verdana" w:hAnsi="Verdana"/>
                <w:sz w:val="18"/>
                <w:szCs w:val="18"/>
                <w:lang w:val="en-GB"/>
              </w:rPr>
              <w:t xml:space="preserve">Follow up study on the effects of the different feed additives (testing </w:t>
            </w:r>
            <w:proofErr w:type="spellStart"/>
            <w:r>
              <w:rPr>
                <w:rFonts w:ascii="Verdana" w:hAnsi="Verdana"/>
                <w:sz w:val="18"/>
                <w:szCs w:val="18"/>
                <w:lang w:val="en-GB"/>
              </w:rPr>
              <w:t>saponins+essential</w:t>
            </w:r>
            <w:proofErr w:type="spellEnd"/>
            <w:r>
              <w:rPr>
                <w:rFonts w:ascii="Verdana" w:hAnsi="Verdana"/>
                <w:sz w:val="18"/>
                <w:szCs w:val="18"/>
                <w:lang w:val="en-GB"/>
              </w:rPr>
              <w:t xml:space="preserve"> oils in starter or grower, and </w:t>
            </w:r>
            <w:proofErr w:type="spellStart"/>
            <w:r>
              <w:rPr>
                <w:rFonts w:ascii="Verdana" w:hAnsi="Verdana"/>
                <w:sz w:val="18"/>
                <w:szCs w:val="18"/>
                <w:lang w:val="en-GB"/>
              </w:rPr>
              <w:t>butyrate+threonine</w:t>
            </w:r>
            <w:proofErr w:type="spellEnd"/>
            <w:r>
              <w:rPr>
                <w:rFonts w:ascii="Verdana" w:hAnsi="Verdana"/>
                <w:sz w:val="18"/>
                <w:szCs w:val="18"/>
                <w:lang w:val="en-GB"/>
              </w:rPr>
              <w:t xml:space="preserve"> in finisher phase, and a combination in starter, grower and finisher phase)</w:t>
            </w:r>
          </w:p>
          <w:p w14:paraId="4E60EC4F" w14:textId="77777777" w:rsidR="00C50938" w:rsidRDefault="000845E6" w:rsidP="000845E6">
            <w:pPr>
              <w:pStyle w:val="Lijstalinea"/>
              <w:numPr>
                <w:ilvl w:val="0"/>
                <w:numId w:val="22"/>
              </w:numPr>
              <w:rPr>
                <w:rFonts w:ascii="Verdana" w:hAnsi="Verdana"/>
                <w:sz w:val="18"/>
                <w:szCs w:val="18"/>
                <w:lang w:val="en-GB"/>
              </w:rPr>
            </w:pPr>
            <w:r w:rsidRPr="000845E6">
              <w:rPr>
                <w:rFonts w:ascii="Verdana" w:hAnsi="Verdana"/>
                <w:sz w:val="18"/>
                <w:szCs w:val="18"/>
                <w:lang w:val="en-GB"/>
              </w:rPr>
              <w:t>Second follow up study on the effects of the different feed additives</w:t>
            </w:r>
            <w:r w:rsidR="001221D8">
              <w:rPr>
                <w:rFonts w:ascii="Verdana" w:hAnsi="Verdana"/>
                <w:sz w:val="18"/>
                <w:szCs w:val="18"/>
                <w:lang w:val="en-GB"/>
              </w:rPr>
              <w:t>, products to be decided</w:t>
            </w:r>
          </w:p>
          <w:p w14:paraId="50720E3B" w14:textId="74608C7E" w:rsidR="0088743E" w:rsidRPr="0088743E" w:rsidRDefault="0088743E" w:rsidP="0088743E">
            <w:pPr>
              <w:rPr>
                <w:rFonts w:ascii="Verdana" w:hAnsi="Verdana"/>
                <w:sz w:val="18"/>
                <w:szCs w:val="18"/>
                <w:lang w:val="en-GB"/>
              </w:rPr>
            </w:pPr>
            <w:r>
              <w:rPr>
                <w:rFonts w:ascii="Verdana" w:hAnsi="Verdana"/>
                <w:sz w:val="18"/>
                <w:szCs w:val="18"/>
                <w:lang w:val="en-GB"/>
              </w:rPr>
              <w:t xml:space="preserve">Further, the final report of the experiment on feeding strategies in 2019 will be available. </w:t>
            </w: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340020"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7858BFE0" w14:textId="1E3B5860" w:rsidR="00C50938" w:rsidRPr="008B091B" w:rsidRDefault="008B091B" w:rsidP="002D6B68">
            <w:pPr>
              <w:rPr>
                <w:rFonts w:ascii="Verdana" w:hAnsi="Verdana" w:cs="Arial"/>
                <w:sz w:val="18"/>
                <w:szCs w:val="18"/>
                <w:lang w:val="en-GB"/>
              </w:rPr>
            </w:pPr>
            <w:r w:rsidRPr="008B091B">
              <w:rPr>
                <w:rFonts w:ascii="Verdana" w:hAnsi="Verdana" w:cs="Arial"/>
                <w:sz w:val="18"/>
                <w:szCs w:val="18"/>
                <w:lang w:val="en-GB"/>
              </w:rPr>
              <w:t>-</w:t>
            </w:r>
          </w:p>
          <w:p w14:paraId="7FC5E331" w14:textId="77777777" w:rsidR="00C50938" w:rsidRPr="007C551A" w:rsidRDefault="00C50938" w:rsidP="002D6B68">
            <w:pPr>
              <w:rPr>
                <w:rFonts w:ascii="Verdana" w:hAnsi="Verdana" w:cs="Arial"/>
                <w:sz w:val="18"/>
                <w:szCs w:val="18"/>
                <w:u w:val="single"/>
                <w:lang w:val="en-GB"/>
              </w:rPr>
            </w:pPr>
          </w:p>
          <w:p w14:paraId="65A9C184" w14:textId="77777777"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42000103" w14:textId="65BA1997" w:rsidR="00C50938" w:rsidRPr="008B091B" w:rsidRDefault="008B091B" w:rsidP="00C50938">
            <w:pPr>
              <w:rPr>
                <w:rFonts w:ascii="Verdana" w:hAnsi="Verdana" w:cs="Arial"/>
                <w:sz w:val="18"/>
                <w:szCs w:val="18"/>
                <w:lang w:val="en-GB"/>
              </w:rPr>
            </w:pPr>
            <w:r w:rsidRPr="008B091B">
              <w:rPr>
                <w:rFonts w:ascii="Verdana" w:hAnsi="Verdana" w:cs="Arial"/>
                <w:sz w:val="18"/>
                <w:szCs w:val="18"/>
                <w:lang w:val="en-GB"/>
              </w:rPr>
              <w:t>-</w:t>
            </w:r>
          </w:p>
          <w:p w14:paraId="1533A057" w14:textId="77777777" w:rsidR="00C50938" w:rsidRPr="007C551A" w:rsidRDefault="00C50938" w:rsidP="00C50938">
            <w:pPr>
              <w:rPr>
                <w:rFonts w:ascii="Verdana" w:hAnsi="Verdana" w:cs="Arial"/>
                <w:sz w:val="18"/>
                <w:szCs w:val="18"/>
                <w:u w:val="single"/>
                <w:lang w:val="en-GB"/>
              </w:rPr>
            </w:pP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8B091B"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77777777" w:rsidR="00C50938" w:rsidRPr="007C551A" w:rsidRDefault="00C50938" w:rsidP="00C50938">
            <w:pPr>
              <w:rPr>
                <w:rFonts w:ascii="Verdana" w:hAnsi="Verdana" w:cs="Arial"/>
                <w:sz w:val="18"/>
                <w:szCs w:val="18"/>
                <w:u w:val="single"/>
                <w:lang w:val="en-GB"/>
              </w:rPr>
            </w:pPr>
          </w:p>
          <w:p w14:paraId="0FC8A6D0" w14:textId="2F7490F8" w:rsidR="00C50938" w:rsidRPr="008B091B" w:rsidRDefault="008B091B" w:rsidP="00C50938">
            <w:pPr>
              <w:rPr>
                <w:rFonts w:ascii="Verdana" w:hAnsi="Verdana" w:cs="Arial"/>
                <w:sz w:val="18"/>
                <w:szCs w:val="18"/>
                <w:lang w:val="en-GB"/>
              </w:rPr>
            </w:pPr>
            <w:r w:rsidRPr="008B091B">
              <w:rPr>
                <w:rFonts w:ascii="Verdana" w:hAnsi="Verdana" w:cs="Arial"/>
                <w:sz w:val="18"/>
                <w:szCs w:val="18"/>
                <w:lang w:val="en-GB"/>
              </w:rPr>
              <w:t>-</w:t>
            </w:r>
          </w:p>
          <w:p w14:paraId="1FB44159" w14:textId="77777777" w:rsidR="00C50938" w:rsidRPr="007C551A" w:rsidRDefault="00C50938" w:rsidP="00C50938">
            <w:pPr>
              <w:rPr>
                <w:rFonts w:ascii="Verdana" w:hAnsi="Verdana" w:cs="Arial"/>
                <w:sz w:val="18"/>
                <w:szCs w:val="18"/>
                <w:u w:val="single"/>
                <w:lang w:val="en-GB"/>
              </w:rPr>
            </w:pPr>
          </w:p>
          <w:p w14:paraId="613BA741" w14:textId="77777777" w:rsidR="00C50938" w:rsidRPr="007C551A" w:rsidRDefault="00C50938" w:rsidP="00C50938">
            <w:p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8B091B"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25EA4F24" w:rsidR="00C50938" w:rsidRPr="008B091B" w:rsidRDefault="008B091B" w:rsidP="00C50938">
            <w:pPr>
              <w:rPr>
                <w:rFonts w:ascii="Verdana" w:hAnsi="Verdana" w:cs="Arial"/>
                <w:sz w:val="18"/>
                <w:szCs w:val="18"/>
                <w:lang w:val="en-GB"/>
              </w:rPr>
            </w:pPr>
            <w:r w:rsidRPr="008B091B">
              <w:rPr>
                <w:rFonts w:ascii="Verdana" w:hAnsi="Verdana" w:cs="Arial"/>
                <w:sz w:val="18"/>
                <w:szCs w:val="18"/>
                <w:lang w:val="en-GB"/>
              </w:rPr>
              <w:t>-</w:t>
            </w:r>
          </w:p>
          <w:p w14:paraId="522CF814" w14:textId="77777777" w:rsidR="00C50938" w:rsidRPr="007C551A" w:rsidRDefault="00C50938" w:rsidP="00C50938">
            <w:pPr>
              <w:rPr>
                <w:rFonts w:ascii="Verdana" w:hAnsi="Verdana" w:cs="Arial"/>
                <w:sz w:val="18"/>
                <w:szCs w:val="18"/>
                <w:u w:val="single"/>
                <w:lang w:val="en-GB"/>
              </w:rPr>
            </w:pPr>
          </w:p>
          <w:p w14:paraId="22360364" w14:textId="77777777" w:rsidR="00C50938" w:rsidRPr="007C551A" w:rsidRDefault="00C50938" w:rsidP="00C50938">
            <w:pPr>
              <w:rPr>
                <w:rFonts w:ascii="Verdana" w:hAnsi="Verdana" w:cs="Arial"/>
                <w:sz w:val="18"/>
                <w:szCs w:val="18"/>
                <w:u w:val="single"/>
                <w:lang w:val="en-GB"/>
              </w:rPr>
            </w:pPr>
          </w:p>
          <w:p w14:paraId="0D2CCAEE" w14:textId="77777777"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8B091B"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6DCBA991" w14:textId="28EAD1C6" w:rsidR="00C50938" w:rsidRPr="008B091B" w:rsidRDefault="008B091B" w:rsidP="00C50938">
            <w:pPr>
              <w:rPr>
                <w:rFonts w:ascii="Verdana" w:hAnsi="Verdana" w:cs="Arial"/>
                <w:sz w:val="18"/>
                <w:szCs w:val="18"/>
                <w:lang w:val="en-GB"/>
              </w:rPr>
            </w:pPr>
            <w:r w:rsidRPr="008B091B">
              <w:rPr>
                <w:rFonts w:ascii="Verdana" w:hAnsi="Verdana" w:cs="Arial"/>
                <w:sz w:val="18"/>
                <w:szCs w:val="18"/>
                <w:lang w:val="en-GB"/>
              </w:rPr>
              <w:t>-</w:t>
            </w:r>
          </w:p>
          <w:p w14:paraId="39351ADC" w14:textId="77777777" w:rsidR="00C50938" w:rsidRPr="007C551A" w:rsidRDefault="00C50938" w:rsidP="00C50938">
            <w:pPr>
              <w:rPr>
                <w:rFonts w:ascii="Verdana" w:hAnsi="Verdana" w:cs="Arial"/>
                <w:sz w:val="18"/>
                <w:szCs w:val="18"/>
                <w:u w:val="single"/>
                <w:lang w:val="en-GB"/>
              </w:rPr>
            </w:pPr>
          </w:p>
          <w:p w14:paraId="45543513" w14:textId="77777777" w:rsidR="00C50938" w:rsidRPr="007C551A" w:rsidRDefault="00C50938" w:rsidP="00C50938">
            <w:pPr>
              <w:rPr>
                <w:rFonts w:ascii="Verdana" w:hAnsi="Verdana" w:cs="Arial"/>
                <w:sz w:val="18"/>
                <w:szCs w:val="18"/>
                <w:u w:val="single"/>
                <w:lang w:val="en-GB"/>
              </w:rPr>
            </w:pP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340020"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537E6D86" w:rsidR="00A61ABC" w:rsidRDefault="00A61ABC" w:rsidP="002D6B68">
            <w:pPr>
              <w:rPr>
                <w:rFonts w:ascii="Verdana" w:hAnsi="Verdana" w:cs="Arial"/>
                <w:sz w:val="18"/>
                <w:szCs w:val="18"/>
                <w:u w:val="single"/>
                <w:lang w:val="en-GB"/>
              </w:rPr>
            </w:pPr>
          </w:p>
          <w:p w14:paraId="343C8A4B" w14:textId="32D08E43" w:rsidR="008B091B" w:rsidRPr="008B091B" w:rsidRDefault="008B091B" w:rsidP="002D6B68">
            <w:pPr>
              <w:rPr>
                <w:rFonts w:ascii="Verdana" w:hAnsi="Verdana" w:cs="Arial"/>
                <w:sz w:val="18"/>
                <w:szCs w:val="18"/>
                <w:lang w:val="en-GB"/>
              </w:rPr>
            </w:pPr>
            <w:r w:rsidRPr="008B091B">
              <w:rPr>
                <w:rFonts w:ascii="Verdana" w:hAnsi="Verdana" w:cs="Arial"/>
                <w:sz w:val="18"/>
                <w:szCs w:val="18"/>
                <w:lang w:val="en-GB"/>
              </w:rPr>
              <w:t>Internal report of experiment 2 for the consortium</w:t>
            </w:r>
          </w:p>
          <w:p w14:paraId="05EE6D4C" w14:textId="4734C296" w:rsidR="008B091B" w:rsidRPr="008B091B" w:rsidRDefault="008B091B" w:rsidP="002D6B68">
            <w:pPr>
              <w:rPr>
                <w:rFonts w:ascii="Verdana" w:hAnsi="Verdana" w:cs="Arial"/>
                <w:sz w:val="18"/>
                <w:szCs w:val="18"/>
                <w:lang w:val="en-GB"/>
              </w:rPr>
            </w:pPr>
            <w:r w:rsidRPr="008B091B">
              <w:rPr>
                <w:rFonts w:ascii="Verdana" w:hAnsi="Verdana" w:cs="Arial"/>
                <w:sz w:val="18"/>
                <w:szCs w:val="18"/>
                <w:lang w:val="en-GB"/>
              </w:rPr>
              <w:t>Several student theses</w:t>
            </w:r>
            <w:r w:rsidR="0088743E">
              <w:rPr>
                <w:rFonts w:ascii="Verdana" w:hAnsi="Verdana" w:cs="Arial"/>
                <w:sz w:val="18"/>
                <w:szCs w:val="18"/>
                <w:lang w:val="en-GB"/>
              </w:rPr>
              <w:t xml:space="preserve"> (from HAS Den Bosch and Veterinary Medicine interns, both at the Faculty on Veterinary Medicine), for all experiments carried out in 2019</w:t>
            </w:r>
          </w:p>
          <w:p w14:paraId="448AD7E3" w14:textId="77777777" w:rsidR="00A61ABC" w:rsidRPr="007C551A" w:rsidRDefault="00A61ABC" w:rsidP="002D6B68">
            <w:pPr>
              <w:rPr>
                <w:rFonts w:ascii="Verdana" w:hAnsi="Verdana" w:cs="Arial"/>
                <w:sz w:val="18"/>
                <w:szCs w:val="18"/>
                <w:u w:val="single"/>
                <w:lang w:val="en-GB"/>
              </w:rPr>
            </w:pPr>
          </w:p>
          <w:p w14:paraId="1D88EE5E" w14:textId="77777777" w:rsidR="00A61ABC" w:rsidRPr="007C551A" w:rsidRDefault="00A61ABC" w:rsidP="002D6B68">
            <w:pPr>
              <w:rPr>
                <w:rFonts w:ascii="Verdana" w:hAnsi="Verdana" w:cs="Arial"/>
                <w:sz w:val="18"/>
                <w:szCs w:val="18"/>
                <w:u w:val="single"/>
                <w:lang w:val="en-GB"/>
              </w:rPr>
            </w:pPr>
          </w:p>
          <w:p w14:paraId="292D49E4" w14:textId="77777777"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sectPr w:rsidR="003F680E"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A3CD" w14:textId="77777777" w:rsidR="00947749" w:rsidRDefault="00947749">
      <w:r>
        <w:separator/>
      </w:r>
    </w:p>
  </w:endnote>
  <w:endnote w:type="continuationSeparator" w:id="0">
    <w:p w14:paraId="4447E009" w14:textId="77777777" w:rsidR="00947749" w:rsidRDefault="0094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4955" w14:textId="77777777" w:rsidR="00947749" w:rsidRDefault="00947749">
      <w:r>
        <w:separator/>
      </w:r>
    </w:p>
  </w:footnote>
  <w:footnote w:type="continuationSeparator" w:id="0">
    <w:p w14:paraId="13D9F21D" w14:textId="77777777" w:rsidR="00947749" w:rsidRDefault="0094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C994CA1"/>
    <w:multiLevelType w:val="hybridMultilevel"/>
    <w:tmpl w:val="F2788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E5A50"/>
    <w:multiLevelType w:val="hybridMultilevel"/>
    <w:tmpl w:val="EAB24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F0441"/>
    <w:multiLevelType w:val="hybridMultilevel"/>
    <w:tmpl w:val="21AE9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544BFA"/>
    <w:multiLevelType w:val="hybridMultilevel"/>
    <w:tmpl w:val="C2FE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6"/>
  </w:num>
  <w:num w:numId="3">
    <w:abstractNumId w:val="8"/>
  </w:num>
  <w:num w:numId="4">
    <w:abstractNumId w:val="9"/>
  </w:num>
  <w:num w:numId="5">
    <w:abstractNumId w:val="19"/>
  </w:num>
  <w:num w:numId="6">
    <w:abstractNumId w:val="17"/>
  </w:num>
  <w:num w:numId="7">
    <w:abstractNumId w:val="10"/>
  </w:num>
  <w:num w:numId="8">
    <w:abstractNumId w:val="2"/>
  </w:num>
  <w:num w:numId="9">
    <w:abstractNumId w:val="12"/>
  </w:num>
  <w:num w:numId="10">
    <w:abstractNumId w:val="0"/>
  </w:num>
  <w:num w:numId="11">
    <w:abstractNumId w:val="11"/>
  </w:num>
  <w:num w:numId="12">
    <w:abstractNumId w:val="3"/>
  </w:num>
  <w:num w:numId="13">
    <w:abstractNumId w:val="15"/>
  </w:num>
  <w:num w:numId="14">
    <w:abstractNumId w:val="13"/>
  </w:num>
  <w:num w:numId="15">
    <w:abstractNumId w:val="4"/>
  </w:num>
  <w:num w:numId="16">
    <w:abstractNumId w:val="16"/>
  </w:num>
  <w:num w:numId="17">
    <w:abstractNumId w:val="1"/>
  </w:num>
  <w:num w:numId="18">
    <w:abstractNumId w:val="14"/>
  </w:num>
  <w:num w:numId="19">
    <w:abstractNumId w:val="20"/>
  </w:num>
  <w:num w:numId="20">
    <w:abstractNumId w:val="2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5E6"/>
    <w:rsid w:val="00084783"/>
    <w:rsid w:val="000B15FC"/>
    <w:rsid w:val="000B4EE7"/>
    <w:rsid w:val="000D0050"/>
    <w:rsid w:val="000D700A"/>
    <w:rsid w:val="000D7133"/>
    <w:rsid w:val="00104650"/>
    <w:rsid w:val="00111FEC"/>
    <w:rsid w:val="001221D8"/>
    <w:rsid w:val="00126FEE"/>
    <w:rsid w:val="00140695"/>
    <w:rsid w:val="00143BF4"/>
    <w:rsid w:val="0017000E"/>
    <w:rsid w:val="00194B91"/>
    <w:rsid w:val="001B7013"/>
    <w:rsid w:val="001D3D10"/>
    <w:rsid w:val="001D446E"/>
    <w:rsid w:val="001E5F19"/>
    <w:rsid w:val="001F1683"/>
    <w:rsid w:val="00205AB3"/>
    <w:rsid w:val="00206AC4"/>
    <w:rsid w:val="00210164"/>
    <w:rsid w:val="00245255"/>
    <w:rsid w:val="00280484"/>
    <w:rsid w:val="002866C7"/>
    <w:rsid w:val="00296299"/>
    <w:rsid w:val="002A6C02"/>
    <w:rsid w:val="002D28C7"/>
    <w:rsid w:val="002D6B68"/>
    <w:rsid w:val="002F6082"/>
    <w:rsid w:val="00306D8F"/>
    <w:rsid w:val="00340020"/>
    <w:rsid w:val="00347768"/>
    <w:rsid w:val="00361BED"/>
    <w:rsid w:val="003735C2"/>
    <w:rsid w:val="00381887"/>
    <w:rsid w:val="00382E67"/>
    <w:rsid w:val="003A34E5"/>
    <w:rsid w:val="003A7D79"/>
    <w:rsid w:val="003C1C97"/>
    <w:rsid w:val="003C5F9D"/>
    <w:rsid w:val="003D2C57"/>
    <w:rsid w:val="003D5216"/>
    <w:rsid w:val="003F680E"/>
    <w:rsid w:val="00424B1F"/>
    <w:rsid w:val="004414CE"/>
    <w:rsid w:val="0045083A"/>
    <w:rsid w:val="00454F50"/>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A120E"/>
    <w:rsid w:val="005C41E3"/>
    <w:rsid w:val="005D0B10"/>
    <w:rsid w:val="005D374B"/>
    <w:rsid w:val="005D5BBF"/>
    <w:rsid w:val="005F3375"/>
    <w:rsid w:val="00612E5A"/>
    <w:rsid w:val="00615D24"/>
    <w:rsid w:val="0066052C"/>
    <w:rsid w:val="00692ED1"/>
    <w:rsid w:val="006A073E"/>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73E1"/>
    <w:rsid w:val="007E5059"/>
    <w:rsid w:val="007E5A98"/>
    <w:rsid w:val="0081352C"/>
    <w:rsid w:val="00823B51"/>
    <w:rsid w:val="00831AF6"/>
    <w:rsid w:val="00831D59"/>
    <w:rsid w:val="00850776"/>
    <w:rsid w:val="0085616F"/>
    <w:rsid w:val="00874A36"/>
    <w:rsid w:val="00884DA6"/>
    <w:rsid w:val="0088743E"/>
    <w:rsid w:val="008A1783"/>
    <w:rsid w:val="008A4612"/>
    <w:rsid w:val="008B091B"/>
    <w:rsid w:val="008C2AE7"/>
    <w:rsid w:val="008C7C19"/>
    <w:rsid w:val="008D355E"/>
    <w:rsid w:val="008D7DC9"/>
    <w:rsid w:val="008F026F"/>
    <w:rsid w:val="00900657"/>
    <w:rsid w:val="0090149F"/>
    <w:rsid w:val="009177B5"/>
    <w:rsid w:val="00940B48"/>
    <w:rsid w:val="00947749"/>
    <w:rsid w:val="009D1952"/>
    <w:rsid w:val="009E159A"/>
    <w:rsid w:val="009F5F7D"/>
    <w:rsid w:val="00A22306"/>
    <w:rsid w:val="00A460B1"/>
    <w:rsid w:val="00A55CBB"/>
    <w:rsid w:val="00A61ABC"/>
    <w:rsid w:val="00A61D56"/>
    <w:rsid w:val="00A662C3"/>
    <w:rsid w:val="00AA078F"/>
    <w:rsid w:val="00AB2C65"/>
    <w:rsid w:val="00AB5248"/>
    <w:rsid w:val="00AE512D"/>
    <w:rsid w:val="00AF068A"/>
    <w:rsid w:val="00B12917"/>
    <w:rsid w:val="00B20E08"/>
    <w:rsid w:val="00B406BC"/>
    <w:rsid w:val="00B619A6"/>
    <w:rsid w:val="00B64103"/>
    <w:rsid w:val="00B75D93"/>
    <w:rsid w:val="00B949B8"/>
    <w:rsid w:val="00B97B43"/>
    <w:rsid w:val="00BA1960"/>
    <w:rsid w:val="00BB0D84"/>
    <w:rsid w:val="00BB4922"/>
    <w:rsid w:val="00BC6F40"/>
    <w:rsid w:val="00BC7E22"/>
    <w:rsid w:val="00BF0664"/>
    <w:rsid w:val="00BF2228"/>
    <w:rsid w:val="00C0418A"/>
    <w:rsid w:val="00C20BA1"/>
    <w:rsid w:val="00C215CF"/>
    <w:rsid w:val="00C21F9A"/>
    <w:rsid w:val="00C31744"/>
    <w:rsid w:val="00C50938"/>
    <w:rsid w:val="00C849C2"/>
    <w:rsid w:val="00CB1408"/>
    <w:rsid w:val="00CC01F2"/>
    <w:rsid w:val="00CD24DC"/>
    <w:rsid w:val="00D20527"/>
    <w:rsid w:val="00D20B07"/>
    <w:rsid w:val="00D31C69"/>
    <w:rsid w:val="00D73730"/>
    <w:rsid w:val="00D9283F"/>
    <w:rsid w:val="00D93FB0"/>
    <w:rsid w:val="00DB2277"/>
    <w:rsid w:val="00DD207A"/>
    <w:rsid w:val="00DE6481"/>
    <w:rsid w:val="00DF1DB7"/>
    <w:rsid w:val="00DF46E8"/>
    <w:rsid w:val="00E0706A"/>
    <w:rsid w:val="00E13164"/>
    <w:rsid w:val="00E15230"/>
    <w:rsid w:val="00E244A5"/>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21773"/>
    <w:rsid w:val="00F23B87"/>
    <w:rsid w:val="00F24563"/>
    <w:rsid w:val="00F45386"/>
    <w:rsid w:val="00F53011"/>
    <w:rsid w:val="00F6124B"/>
    <w:rsid w:val="00F80983"/>
    <w:rsid w:val="00FA1DAA"/>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uiPriority w:val="99"/>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0D7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6B8B36CA-575E-4F82-9EE3-261085B3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94219-B1AB-49C8-8C0F-20458FAA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7209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4</cp:revision>
  <cp:lastPrinted>2018-11-29T13:20:00Z</cp:lastPrinted>
  <dcterms:created xsi:type="dcterms:W3CDTF">2020-01-31T10:16:00Z</dcterms:created>
  <dcterms:modified xsi:type="dcterms:W3CDTF">2020-05-04T10:31:00Z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