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01E9" w14:textId="4755E046" w:rsidR="00111FEC" w:rsidRPr="007C551A" w:rsidRDefault="00FC3E75" w:rsidP="00CD6A77">
      <w:pPr>
        <w:ind w:left="3545" w:firstLine="709"/>
        <w:rPr>
          <w:rFonts w:ascii="Verdana" w:hAnsi="Verdana" w:cs="Arial"/>
          <w:b/>
          <w:lang w:val="en-GB"/>
        </w:rPr>
      </w:pPr>
      <w:r w:rsidRPr="007C551A">
        <w:rPr>
          <w:noProof/>
        </w:rPr>
        <w:drawing>
          <wp:inline distT="0" distB="0" distL="0" distR="0" wp14:anchorId="2A96AA18" wp14:editId="71081C81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 w:rsidRPr="007C551A">
        <w:rPr>
          <w:noProof/>
        </w:rPr>
        <w:drawing>
          <wp:inline distT="0" distB="0" distL="0" distR="0" wp14:anchorId="5F3A6D22" wp14:editId="5F799D5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14:paraId="2C8F078F" w14:textId="77777777" w:rsidR="00111FEC" w:rsidRPr="007C551A" w:rsidRDefault="00111FEC" w:rsidP="0008124E">
      <w:pPr>
        <w:rPr>
          <w:rFonts w:ascii="Verdana" w:hAnsi="Verdana" w:cs="Arial"/>
          <w:b/>
          <w:lang w:val="en-GB"/>
        </w:rPr>
      </w:pPr>
    </w:p>
    <w:p w14:paraId="6102DB78" w14:textId="77777777" w:rsidR="00506561" w:rsidRPr="00172BAE" w:rsidRDefault="00506561" w:rsidP="00506561">
      <w:pPr>
        <w:ind w:left="2836" w:firstLine="709"/>
        <w:jc w:val="right"/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6"/>
      </w:tblGrid>
      <w:tr w:rsidR="00506561" w:rsidRPr="00172BAE" w14:paraId="35548291" w14:textId="77777777" w:rsidTr="0027128C">
        <w:tc>
          <w:tcPr>
            <w:tcW w:w="9060" w:type="dxa"/>
            <w:gridSpan w:val="2"/>
            <w:shd w:val="clear" w:color="auto" w:fill="auto"/>
          </w:tcPr>
          <w:p w14:paraId="45AA6794" w14:textId="77777777" w:rsidR="00506561" w:rsidRPr="00172BAE" w:rsidRDefault="00506561" w:rsidP="008F261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General information</w:t>
            </w:r>
          </w:p>
        </w:tc>
      </w:tr>
      <w:tr w:rsidR="00506561" w:rsidRPr="00172BAE" w14:paraId="529C4BD1" w14:textId="77777777" w:rsidTr="0027128C">
        <w:tc>
          <w:tcPr>
            <w:tcW w:w="2634" w:type="dxa"/>
            <w:shd w:val="clear" w:color="auto" w:fill="auto"/>
          </w:tcPr>
          <w:p w14:paraId="0621BA70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PPP number</w:t>
            </w:r>
          </w:p>
        </w:tc>
        <w:tc>
          <w:tcPr>
            <w:tcW w:w="6426" w:type="dxa"/>
            <w:shd w:val="clear" w:color="auto" w:fill="auto"/>
          </w:tcPr>
          <w:p w14:paraId="56FA1249" w14:textId="77777777" w:rsidR="00506561" w:rsidRPr="00172BAE" w:rsidRDefault="00506561" w:rsidP="008F261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AF-15269</w:t>
            </w:r>
          </w:p>
        </w:tc>
      </w:tr>
      <w:tr w:rsidR="00506561" w:rsidRPr="00CD6A77" w14:paraId="5DC649BD" w14:textId="77777777" w:rsidTr="0027128C">
        <w:tc>
          <w:tcPr>
            <w:tcW w:w="2634" w:type="dxa"/>
            <w:shd w:val="clear" w:color="auto" w:fill="auto"/>
          </w:tcPr>
          <w:p w14:paraId="51156DD6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6426" w:type="dxa"/>
            <w:shd w:val="clear" w:color="auto" w:fill="auto"/>
          </w:tcPr>
          <w:p w14:paraId="3E238D93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Sustainable Future Proteins</w:t>
            </w:r>
          </w:p>
          <w:p w14:paraId="74FB0A47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Focus on nutritional and health-promoting quality</w:t>
            </w:r>
          </w:p>
        </w:tc>
      </w:tr>
      <w:tr w:rsidR="00506561" w:rsidRPr="00172BAE" w14:paraId="4A16E59C" w14:textId="77777777" w:rsidTr="0027128C">
        <w:tc>
          <w:tcPr>
            <w:tcW w:w="2634" w:type="dxa"/>
            <w:shd w:val="clear" w:color="auto" w:fill="auto"/>
          </w:tcPr>
          <w:p w14:paraId="1B07D2EB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Theme</w:t>
            </w:r>
          </w:p>
        </w:tc>
        <w:tc>
          <w:tcPr>
            <w:tcW w:w="6426" w:type="dxa"/>
            <w:shd w:val="clear" w:color="auto" w:fill="auto"/>
          </w:tcPr>
          <w:p w14:paraId="1633537F" w14:textId="77777777" w:rsidR="00506561" w:rsidRPr="00172BAE" w:rsidRDefault="00506561" w:rsidP="008F261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Healthy and Safe</w:t>
            </w:r>
          </w:p>
        </w:tc>
      </w:tr>
      <w:tr w:rsidR="00506561" w:rsidRPr="00172BAE" w14:paraId="50FDD8DA" w14:textId="77777777" w:rsidTr="0027128C">
        <w:tc>
          <w:tcPr>
            <w:tcW w:w="2634" w:type="dxa"/>
            <w:shd w:val="clear" w:color="auto" w:fill="auto"/>
          </w:tcPr>
          <w:p w14:paraId="6B736D88" w14:textId="078A7AE7" w:rsidR="00506561" w:rsidRPr="00172BAE" w:rsidRDefault="0027128C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Implementing</w:t>
            </w:r>
            <w:r w:rsidR="00506561"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 institution(s)</w:t>
            </w:r>
          </w:p>
        </w:tc>
        <w:tc>
          <w:tcPr>
            <w:tcW w:w="6426" w:type="dxa"/>
            <w:shd w:val="clear" w:color="auto" w:fill="auto"/>
          </w:tcPr>
          <w:p w14:paraId="463DEEC5" w14:textId="77777777" w:rsidR="00506561" w:rsidRPr="00172BAE" w:rsidRDefault="00506561" w:rsidP="008F261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WFBR; UU-UIPS</w:t>
            </w:r>
          </w:p>
        </w:tc>
      </w:tr>
      <w:tr w:rsidR="00506561" w:rsidRPr="00CD6A77" w14:paraId="32531394" w14:textId="77777777" w:rsidTr="0027128C">
        <w:tc>
          <w:tcPr>
            <w:tcW w:w="2634" w:type="dxa"/>
            <w:shd w:val="clear" w:color="auto" w:fill="auto"/>
          </w:tcPr>
          <w:p w14:paraId="35750281" w14:textId="59F9C834" w:rsidR="00506561" w:rsidRPr="00172BAE" w:rsidRDefault="0027128C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</w:t>
            </w:r>
            <w:r w:rsidR="00506561"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roject leader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esearch </w:t>
            </w:r>
            <w:r w:rsidR="00506561" w:rsidRPr="00172BAE">
              <w:rPr>
                <w:rFonts w:ascii="Verdana" w:hAnsi="Verdana" w:cs="Arial"/>
                <w:sz w:val="18"/>
                <w:szCs w:val="18"/>
                <w:lang w:val="en-GB"/>
              </w:rPr>
              <w:t>(name + e-mail address)</w:t>
            </w:r>
          </w:p>
        </w:tc>
        <w:tc>
          <w:tcPr>
            <w:tcW w:w="6426" w:type="dxa"/>
            <w:shd w:val="clear" w:color="auto" w:fill="auto"/>
          </w:tcPr>
          <w:p w14:paraId="64EDEA80" w14:textId="709963CC" w:rsidR="00506561" w:rsidRPr="00172BAE" w:rsidRDefault="00FB5DCD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Prof.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d</w:t>
            </w:r>
            <w:r w:rsidR="00506561"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r.</w:t>
            </w:r>
            <w:proofErr w:type="spellEnd"/>
            <w:r w:rsidR="00506561"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Harry J. Wichers</w:t>
            </w:r>
          </w:p>
          <w:p w14:paraId="164A0FF6" w14:textId="77777777" w:rsidR="00506561" w:rsidRPr="00172BAE" w:rsidRDefault="00095186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hyperlink r:id="rId13" w:history="1">
              <w:r w:rsidR="00506561" w:rsidRPr="00172BAE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harry.wichers@wur.nl</w:t>
              </w:r>
            </w:hyperlink>
            <w:r w:rsidR="00506561"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06561" w:rsidRPr="00506561" w14:paraId="33970588" w14:textId="77777777" w:rsidTr="0027128C">
        <w:tc>
          <w:tcPr>
            <w:tcW w:w="2634" w:type="dxa"/>
            <w:shd w:val="clear" w:color="auto" w:fill="auto"/>
          </w:tcPr>
          <w:p w14:paraId="3822EBFC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Coordinator (on behalf of private parties)</w:t>
            </w:r>
          </w:p>
        </w:tc>
        <w:tc>
          <w:tcPr>
            <w:tcW w:w="6426" w:type="dxa"/>
            <w:shd w:val="clear" w:color="auto" w:fill="auto"/>
          </w:tcPr>
          <w:p w14:paraId="2EC3E682" w14:textId="77777777" w:rsidR="00506561" w:rsidRPr="00506561" w:rsidRDefault="00506561" w:rsidP="008F261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06561">
              <w:rPr>
                <w:rFonts w:ascii="Verdana" w:hAnsi="Verdana" w:cs="Arial"/>
                <w:b/>
                <w:sz w:val="18"/>
                <w:szCs w:val="18"/>
              </w:rPr>
              <w:t xml:space="preserve">Dr. Jeroen </w:t>
            </w:r>
            <w:proofErr w:type="spellStart"/>
            <w:r w:rsidRPr="00506561">
              <w:rPr>
                <w:rFonts w:ascii="Verdana" w:hAnsi="Verdana" w:cs="Arial"/>
                <w:b/>
                <w:sz w:val="18"/>
                <w:szCs w:val="18"/>
              </w:rPr>
              <w:t>BergenHenegouwen</w:t>
            </w:r>
            <w:proofErr w:type="spellEnd"/>
          </w:p>
          <w:p w14:paraId="2C6ED967" w14:textId="77777777" w:rsidR="00506561" w:rsidRPr="00506561" w:rsidRDefault="00095186" w:rsidP="008F2613">
            <w:pPr>
              <w:rPr>
                <w:rFonts w:ascii="Verdana" w:hAnsi="Verdana" w:cs="Arial"/>
                <w:sz w:val="18"/>
                <w:szCs w:val="18"/>
              </w:rPr>
            </w:pPr>
            <w:hyperlink r:id="rId14" w:history="1">
              <w:r w:rsidR="00506561" w:rsidRPr="00506561">
                <w:rPr>
                  <w:rStyle w:val="Hyperlink"/>
                  <w:rFonts w:ascii="Verdana" w:hAnsi="Verdana" w:cs="Arial"/>
                  <w:sz w:val="18"/>
                  <w:szCs w:val="18"/>
                </w:rPr>
                <w:t>jeroen.vanbergen@danone.com</w:t>
              </w:r>
            </w:hyperlink>
            <w:r w:rsidR="00506561" w:rsidRPr="0050656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506561" w:rsidRPr="00CD6A77" w14:paraId="14569DE2" w14:textId="77777777" w:rsidTr="0027128C">
        <w:tc>
          <w:tcPr>
            <w:tcW w:w="2634" w:type="dxa"/>
            <w:shd w:val="clear" w:color="auto" w:fill="auto"/>
          </w:tcPr>
          <w:p w14:paraId="28771E33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Address project website</w:t>
            </w:r>
          </w:p>
        </w:tc>
        <w:tc>
          <w:tcPr>
            <w:tcW w:w="6426" w:type="dxa"/>
            <w:shd w:val="clear" w:color="auto" w:fill="auto"/>
          </w:tcPr>
          <w:p w14:paraId="7CCE42A5" w14:textId="77777777" w:rsidR="00506561" w:rsidRPr="00172BAE" w:rsidRDefault="00095186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hyperlink r:id="rId15" w:history="1">
              <w:r w:rsidR="00506561" w:rsidRPr="00172BAE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https://topsectoragrifood.nl/project/future-proteins/</w:t>
              </w:r>
            </w:hyperlink>
            <w:r w:rsidR="00506561"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0FDFB605" w14:textId="77777777" w:rsidR="00506561" w:rsidRPr="00172BAE" w:rsidRDefault="00095186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hyperlink r:id="rId16" w:history="1">
              <w:r w:rsidR="00506561" w:rsidRPr="00172BAE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https://sharepoint.wur.nl/sites/futureproteins/SitePages/Home.aspx</w:t>
              </w:r>
            </w:hyperlink>
            <w:r w:rsidR="00506561"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06561" w:rsidRPr="00172BAE" w14:paraId="4C464C21" w14:textId="77777777" w:rsidTr="0027128C">
        <w:tc>
          <w:tcPr>
            <w:tcW w:w="2634" w:type="dxa"/>
            <w:shd w:val="clear" w:color="auto" w:fill="auto"/>
          </w:tcPr>
          <w:p w14:paraId="59F3A631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6426" w:type="dxa"/>
            <w:shd w:val="clear" w:color="auto" w:fill="auto"/>
          </w:tcPr>
          <w:p w14:paraId="733B7D64" w14:textId="77777777" w:rsidR="00506561" w:rsidRPr="00172BAE" w:rsidRDefault="00506561" w:rsidP="008F261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 April 2016</w:t>
            </w:r>
          </w:p>
        </w:tc>
      </w:tr>
      <w:tr w:rsidR="00506561" w:rsidRPr="00172BAE" w14:paraId="03E94286" w14:textId="77777777" w:rsidTr="0027128C">
        <w:tc>
          <w:tcPr>
            <w:tcW w:w="2634" w:type="dxa"/>
            <w:shd w:val="clear" w:color="auto" w:fill="auto"/>
          </w:tcPr>
          <w:p w14:paraId="3FE36FEB" w14:textId="77777777" w:rsidR="00506561" w:rsidRPr="00172BAE" w:rsidRDefault="00506561" w:rsidP="008F26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End date</w:t>
            </w:r>
          </w:p>
        </w:tc>
        <w:tc>
          <w:tcPr>
            <w:tcW w:w="6426" w:type="dxa"/>
            <w:shd w:val="clear" w:color="auto" w:fill="auto"/>
          </w:tcPr>
          <w:p w14:paraId="134973B9" w14:textId="77777777" w:rsidR="00506561" w:rsidRPr="00172BAE" w:rsidRDefault="00506561" w:rsidP="008F261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31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July</w:t>
            </w:r>
            <w:r w:rsidRPr="00172BA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2020</w:t>
            </w:r>
          </w:p>
        </w:tc>
      </w:tr>
    </w:tbl>
    <w:p w14:paraId="26A9B8A4" w14:textId="77777777" w:rsidR="00506561" w:rsidRPr="00172BAE" w:rsidRDefault="00506561" w:rsidP="00506561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F21773" w14:paraId="3648EE75" w14:textId="77777777" w:rsidTr="00126FEE">
        <w:tc>
          <w:tcPr>
            <w:tcW w:w="9060" w:type="dxa"/>
            <w:gridSpan w:val="2"/>
            <w:shd w:val="clear" w:color="auto" w:fill="auto"/>
          </w:tcPr>
          <w:p w14:paraId="0F7D91C1" w14:textId="3E3C9069" w:rsidR="00D93FB0" w:rsidRPr="007C551A" w:rsidRDefault="00D20527" w:rsidP="007543B9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bookmarkStart w:id="2" w:name="_Hlk21360790"/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Approval </w:t>
            </w:r>
            <w:r w:rsidR="00B20E08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by </w:t>
            </w:r>
            <w:r w:rsidR="00BA196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coordinator of the c</w:t>
            </w:r>
            <w:r w:rsidR="00D93FB0"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onsortium </w:t>
            </w:r>
          </w:p>
          <w:p w14:paraId="5F4D5F2B" w14:textId="11D8EA75" w:rsidR="00D93FB0" w:rsidRPr="007C551A" w:rsidRDefault="00D20527" w:rsidP="008D355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The annual report </w:t>
            </w:r>
            <w:r w:rsidR="002F6082">
              <w:rPr>
                <w:rFonts w:ascii="Verdana" w:hAnsi="Verdana"/>
                <w:sz w:val="18"/>
                <w:szCs w:val="18"/>
                <w:lang w:val="en-GB"/>
              </w:rPr>
              <w:t>must</w:t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be discussed with the coordinator of the consortium. The “TKI’s” appreciate </w:t>
            </w:r>
            <w:r w:rsidR="002F6082">
              <w:rPr>
                <w:rFonts w:ascii="Verdana" w:hAnsi="Verdana"/>
                <w:sz w:val="18"/>
                <w:szCs w:val="18"/>
                <w:lang w:val="en-GB"/>
              </w:rPr>
              <w:t>additional comments</w:t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concerning the annual report. </w:t>
            </w:r>
          </w:p>
        </w:tc>
      </w:tr>
      <w:tr w:rsidR="00D93FB0" w:rsidRPr="007C551A" w14:paraId="64DD91AB" w14:textId="77777777" w:rsidTr="00126FEE">
        <w:tc>
          <w:tcPr>
            <w:tcW w:w="3397" w:type="dxa"/>
            <w:shd w:val="clear" w:color="auto" w:fill="auto"/>
          </w:tcPr>
          <w:p w14:paraId="26F0BF52" w14:textId="77777777" w:rsidR="00D93FB0" w:rsidRPr="007C551A" w:rsidRDefault="007C551A" w:rsidP="007543B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Assessment of the report by t</w:t>
            </w:r>
            <w:r w:rsidR="00D20527" w:rsidRPr="007C551A">
              <w:rPr>
                <w:rFonts w:ascii="Verdana" w:hAnsi="Verdana" w:cs="Arial"/>
                <w:sz w:val="18"/>
                <w:szCs w:val="18"/>
                <w:lang w:val="en-GB"/>
              </w:rPr>
              <w:t>he coordinator on behalf of the consortium</w:t>
            </w:r>
            <w:r w:rsidR="00B20E08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7CE864D5" w14:textId="49C77B95" w:rsidR="00D93FB0" w:rsidRPr="007C551A" w:rsidRDefault="00813DE1" w:rsidP="007543B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█</w:t>
            </w:r>
            <w:r w:rsidR="00D93FB0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20527" w:rsidRPr="007C551A">
              <w:rPr>
                <w:rFonts w:ascii="Verdana" w:hAnsi="Verdana"/>
                <w:sz w:val="18"/>
                <w:szCs w:val="18"/>
                <w:lang w:val="en-GB"/>
              </w:rPr>
              <w:t>Approved</w:t>
            </w:r>
          </w:p>
          <w:p w14:paraId="7A713A7C" w14:textId="77777777" w:rsidR="00D93FB0" w:rsidRPr="007C551A" w:rsidRDefault="00D93FB0" w:rsidP="007543B9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sym w:font="Symbol" w:char="F092"/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20527" w:rsidRPr="007C551A">
              <w:rPr>
                <w:rFonts w:ascii="Verdana" w:hAnsi="Verdana"/>
                <w:sz w:val="18"/>
                <w:szCs w:val="18"/>
                <w:lang w:val="en-GB"/>
              </w:rPr>
              <w:t>Not approved</w:t>
            </w:r>
          </w:p>
        </w:tc>
      </w:tr>
      <w:tr w:rsidR="00D93FB0" w:rsidRPr="00CD6A77" w14:paraId="0B57AF59" w14:textId="77777777" w:rsidTr="00126FEE">
        <w:tc>
          <w:tcPr>
            <w:tcW w:w="3397" w:type="dxa"/>
            <w:shd w:val="clear" w:color="auto" w:fill="auto"/>
          </w:tcPr>
          <w:p w14:paraId="232A393F" w14:textId="01452D84" w:rsidR="00D93FB0" w:rsidRPr="007C551A" w:rsidRDefault="002F6082" w:rsidP="007543B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Additional comments</w:t>
            </w:r>
            <w:r w:rsidR="00D20527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concerning the annual report:</w:t>
            </w:r>
          </w:p>
        </w:tc>
        <w:tc>
          <w:tcPr>
            <w:tcW w:w="5663" w:type="dxa"/>
            <w:shd w:val="clear" w:color="auto" w:fill="auto"/>
          </w:tcPr>
          <w:p w14:paraId="25E2DD7C" w14:textId="77777777" w:rsidR="00D93FB0" w:rsidRPr="007C551A" w:rsidRDefault="00D93FB0" w:rsidP="007543B9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14:paraId="3DEE9FE1" w14:textId="77777777" w:rsidR="00A460B1" w:rsidRPr="007C551A" w:rsidRDefault="00A460B1" w:rsidP="00A460B1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80484" w:rsidRPr="007C551A" w14:paraId="52AA73EB" w14:textId="77777777" w:rsidTr="00717EAB">
        <w:tc>
          <w:tcPr>
            <w:tcW w:w="9060" w:type="dxa"/>
            <w:gridSpan w:val="2"/>
            <w:shd w:val="clear" w:color="auto" w:fill="auto"/>
          </w:tcPr>
          <w:p w14:paraId="06785D93" w14:textId="77777777" w:rsidR="00280484" w:rsidRPr="007C551A" w:rsidRDefault="00D20527" w:rsidP="00C20BA1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bookmarkStart w:id="3" w:name="_Hlk19269796"/>
            <w:bookmarkEnd w:id="2"/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Summary of the project</w:t>
            </w:r>
          </w:p>
        </w:tc>
      </w:tr>
      <w:tr w:rsidR="00280484" w:rsidRPr="00CD6A77" w14:paraId="46148D3E" w14:textId="77777777" w:rsidTr="00C50938">
        <w:tc>
          <w:tcPr>
            <w:tcW w:w="2425" w:type="dxa"/>
            <w:shd w:val="clear" w:color="auto" w:fill="auto"/>
          </w:tcPr>
          <w:p w14:paraId="702DDBF4" w14:textId="77777777" w:rsidR="00280484" w:rsidRPr="007C551A" w:rsidRDefault="00D20527" w:rsidP="00C20BA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Problem definition</w:t>
            </w:r>
          </w:p>
        </w:tc>
        <w:tc>
          <w:tcPr>
            <w:tcW w:w="6635" w:type="dxa"/>
            <w:shd w:val="clear" w:color="auto" w:fill="auto"/>
          </w:tcPr>
          <w:p w14:paraId="6A151607" w14:textId="77777777" w:rsidR="0027128C" w:rsidRPr="00172BAE" w:rsidRDefault="0027128C" w:rsidP="0027128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Due to (globally) increasing demands for protein for inclusion into the human diet, alternative sources for such proteins, from maximally sustainable sources, need to be identified.</w:t>
            </w:r>
          </w:p>
          <w:p w14:paraId="3141D852" w14:textId="6EE64F83" w:rsidR="00C50938" w:rsidRPr="007C551A" w:rsidRDefault="0027128C" w:rsidP="00C20BA1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>This project aims at studying nutritional properties of proteins from sustainable sources.</w:t>
            </w:r>
          </w:p>
        </w:tc>
      </w:tr>
      <w:tr w:rsidR="00280484" w:rsidRPr="00CD6A77" w14:paraId="4365EF61" w14:textId="77777777" w:rsidTr="00C50938">
        <w:tc>
          <w:tcPr>
            <w:tcW w:w="2425" w:type="dxa"/>
            <w:shd w:val="clear" w:color="auto" w:fill="auto"/>
          </w:tcPr>
          <w:p w14:paraId="1D7B59FE" w14:textId="77777777" w:rsidR="00C50938" w:rsidRPr="007C551A" w:rsidRDefault="00D20527" w:rsidP="00C20BA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Project goals</w:t>
            </w:r>
          </w:p>
          <w:p w14:paraId="20383047" w14:textId="77777777" w:rsidR="00C50938" w:rsidRPr="007C551A" w:rsidRDefault="00C50938" w:rsidP="00C20BA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6A0E6D1" w14:textId="77777777" w:rsidR="00C50938" w:rsidRPr="007C551A" w:rsidRDefault="00C50938" w:rsidP="00C20BA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05C39D4C" w14:textId="77777777" w:rsidR="00C50938" w:rsidRPr="007C551A" w:rsidRDefault="00C50938" w:rsidP="00C20BA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3C761705" w14:textId="77777777" w:rsidR="00C50938" w:rsidRPr="007C551A" w:rsidRDefault="00C50938" w:rsidP="00C20BA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35" w:type="dxa"/>
            <w:shd w:val="clear" w:color="auto" w:fill="auto"/>
          </w:tcPr>
          <w:p w14:paraId="195DED51" w14:textId="4C99B8E2" w:rsidR="00280484" w:rsidRPr="007C551A" w:rsidRDefault="0027128C" w:rsidP="00C20BA1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Development of a</w:t>
            </w:r>
            <w:r w:rsidRPr="00172BAE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toolbox to assess the digestibility of proteins, to evaluate how well a given (mixture of) protein(s) is able to meet human amino acid requirements, and which spectrum of biologically active peptides is formed during digestion, with an emphasis on effects on gastro-intestinal health.</w:t>
            </w:r>
          </w:p>
        </w:tc>
      </w:tr>
      <w:bookmarkEnd w:id="3"/>
    </w:tbl>
    <w:p w14:paraId="389D237F" w14:textId="77777777" w:rsidR="00280484" w:rsidRPr="007C551A" w:rsidRDefault="00280484" w:rsidP="00A460B1">
      <w:pPr>
        <w:rPr>
          <w:rFonts w:ascii="Verdana" w:hAnsi="Verdana" w:cs="Arial"/>
          <w:b/>
          <w:lang w:val="en-GB"/>
        </w:rPr>
      </w:pPr>
    </w:p>
    <w:p w14:paraId="7F678F02" w14:textId="77777777" w:rsidR="009177B5" w:rsidRPr="007C551A" w:rsidRDefault="009177B5" w:rsidP="00B75D93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FA4086" w:rsidRPr="007C551A" w14:paraId="140D37C8" w14:textId="77777777" w:rsidTr="00C50938">
        <w:tc>
          <w:tcPr>
            <w:tcW w:w="9060" w:type="dxa"/>
            <w:gridSpan w:val="2"/>
            <w:shd w:val="clear" w:color="auto" w:fill="auto"/>
          </w:tcPr>
          <w:p w14:paraId="42E631B1" w14:textId="77777777" w:rsidR="00692ED1" w:rsidRPr="007C551A" w:rsidRDefault="00A460B1" w:rsidP="00245255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bookmarkStart w:id="4" w:name="_Hlk19269488"/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Result</w:t>
            </w:r>
            <w:r w:rsidR="00D20527"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</w:p>
        </w:tc>
      </w:tr>
      <w:tr w:rsidR="00C50938" w:rsidRPr="00CD6A77" w14:paraId="5FBF5979" w14:textId="77777777" w:rsidTr="00C50938">
        <w:trPr>
          <w:trHeight w:val="878"/>
        </w:trPr>
        <w:tc>
          <w:tcPr>
            <w:tcW w:w="2245" w:type="dxa"/>
            <w:shd w:val="clear" w:color="auto" w:fill="auto"/>
          </w:tcPr>
          <w:p w14:paraId="5A21BD62" w14:textId="77777777" w:rsidR="00C50938" w:rsidRPr="007C551A" w:rsidRDefault="00D2052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Planned results </w:t>
            </w:r>
            <w:r w:rsidR="00C50938" w:rsidRPr="007C551A">
              <w:rPr>
                <w:rFonts w:ascii="Verdana" w:hAnsi="Verdana"/>
                <w:sz w:val="18"/>
                <w:szCs w:val="18"/>
                <w:lang w:val="en-GB"/>
              </w:rPr>
              <w:t>2019</w:t>
            </w:r>
          </w:p>
          <w:p w14:paraId="5B6B4E9D" w14:textId="77777777" w:rsidR="00C50938" w:rsidRPr="007C551A" w:rsidRDefault="00C50938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EB3BA19" w14:textId="77777777" w:rsidR="00C50938" w:rsidRPr="007C551A" w:rsidRDefault="00C50938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815" w:type="dxa"/>
            <w:shd w:val="clear" w:color="auto" w:fill="auto"/>
          </w:tcPr>
          <w:p w14:paraId="0FF71B7D" w14:textId="0C30D9A8" w:rsidR="00C50938" w:rsidRDefault="009540D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WP1 Protein digestion:</w:t>
            </w:r>
          </w:p>
          <w:p w14:paraId="491AA938" w14:textId="0D731670" w:rsidR="001C1317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Digestions were planned to be completed in 2019</w:t>
            </w:r>
          </w:p>
          <w:p w14:paraId="0766CAC6" w14:textId="0D7DCE99" w:rsidR="009540DF" w:rsidRDefault="009540D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E6B6DB1" w14:textId="133071C6" w:rsidR="009540DF" w:rsidRDefault="009540D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WP2 Bioactivity of peptides:</w:t>
            </w:r>
          </w:p>
          <w:p w14:paraId="44897D6A" w14:textId="434D19B9" w:rsidR="001C1317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Models systems were planned to be set-up, digesta were planned to be tested</w:t>
            </w:r>
          </w:p>
          <w:p w14:paraId="4A40429D" w14:textId="1E4864FE" w:rsidR="009540DF" w:rsidRDefault="009540D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A572396" w14:textId="0ADE20BB" w:rsidR="009540DF" w:rsidRPr="007C551A" w:rsidRDefault="009540D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WP3: Intervention trial</w:t>
            </w:r>
          </w:p>
          <w:p w14:paraId="15E64C0D" w14:textId="4437B70A" w:rsidR="00C50938" w:rsidRPr="007C551A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Intervention trial with selected food-grade test samples was planned to be completed</w:t>
            </w:r>
          </w:p>
          <w:p w14:paraId="3F0046B2" w14:textId="77777777" w:rsidR="00C50938" w:rsidRPr="001C1317" w:rsidRDefault="00C50938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ED22AC2" w14:textId="0100208C" w:rsidR="00C50938" w:rsidRPr="001C1317" w:rsidRDefault="001C1317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C1317">
              <w:rPr>
                <w:rFonts w:ascii="Verdana" w:hAnsi="Verdana" w:cs="Arial"/>
                <w:sz w:val="18"/>
                <w:szCs w:val="18"/>
                <w:lang w:val="en-GB"/>
              </w:rPr>
              <w:t>Overall: integration of data was planned</w:t>
            </w:r>
          </w:p>
        </w:tc>
      </w:tr>
      <w:tr w:rsidR="00C50938" w:rsidRPr="001C1317" w14:paraId="33C3CCEA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4AD860AE" w14:textId="77777777" w:rsidR="00C50938" w:rsidRPr="007C551A" w:rsidRDefault="00FC621E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Achieved</w:t>
            </w:r>
            <w:r w:rsidR="00D20527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results</w:t>
            </w:r>
            <w:r w:rsidR="00C50938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2019</w:t>
            </w:r>
          </w:p>
        </w:tc>
        <w:tc>
          <w:tcPr>
            <w:tcW w:w="6815" w:type="dxa"/>
            <w:shd w:val="clear" w:color="auto" w:fill="auto"/>
          </w:tcPr>
          <w:p w14:paraId="6A01D85D" w14:textId="732B437D" w:rsidR="00C50938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WP1:</w:t>
            </w:r>
          </w:p>
          <w:p w14:paraId="5DC911C9" w14:textId="354D3E8A" w:rsidR="001C1317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 in vitro-digestions that were planned were completed in 2019, both for INFOGEST-protocol and for SHIME-system. SHIME-samples were sent for microbiota-analysis.</w:t>
            </w:r>
          </w:p>
          <w:p w14:paraId="6F64F1F9" w14:textId="0EA3DF76" w:rsidR="001C1317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FC06B0A" w14:textId="651252BC" w:rsidR="001C1317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WP2:</w:t>
            </w:r>
          </w:p>
          <w:p w14:paraId="0AFCD6C5" w14:textId="424DC700" w:rsidR="001C1317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Gut-on-a-Chip system operational, samples are being tested.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Enodtoxin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contaminations </w:t>
            </w:r>
          </w:p>
          <w:p w14:paraId="69DCF1BC" w14:textId="3D0E2510" w:rsidR="001C1317" w:rsidRPr="007C551A" w:rsidRDefault="001C1317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Peptidomics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for digesta was completed. Bio-informatics approach</w:t>
            </w:r>
            <w:r w:rsidR="0023602F">
              <w:rPr>
                <w:rFonts w:ascii="Verdana" w:hAnsi="Verdana"/>
                <w:sz w:val="18"/>
                <w:szCs w:val="18"/>
                <w:lang w:val="en-GB"/>
              </w:rPr>
              <w:t xml:space="preserve"> to identify ACE-inhibiting activity started up</w:t>
            </w:r>
          </w:p>
          <w:p w14:paraId="63D649DD" w14:textId="77777777" w:rsidR="00C50938" w:rsidRPr="007C551A" w:rsidRDefault="00C50938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EDC9A93" w14:textId="024B961D" w:rsidR="00C50938" w:rsidRDefault="0023602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WP3:</w:t>
            </w:r>
          </w:p>
          <w:p w14:paraId="28CA9241" w14:textId="61A55F41" w:rsidR="0023602F" w:rsidRPr="007C551A" w:rsidRDefault="0023602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Human trial completed, all samples analysed (serum, urine, faeces, microbiota).</w:t>
            </w:r>
          </w:p>
          <w:p w14:paraId="2E4BFA08" w14:textId="5F847B66" w:rsidR="00C50938" w:rsidRPr="007C551A" w:rsidRDefault="0023602F" w:rsidP="0023602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Significant differences between kinetics of amino acid-uptake for various proteins. Inter-individual variation dependent of protein sample.</w:t>
            </w:r>
          </w:p>
        </w:tc>
      </w:tr>
      <w:tr w:rsidR="00C50938" w:rsidRPr="00CD6A77" w14:paraId="4298C7F2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7998F5D6" w14:textId="55EFCA50" w:rsidR="00C50938" w:rsidRPr="007C551A" w:rsidRDefault="00D20527" w:rsidP="008D355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>Planned results 20</w:t>
            </w:r>
            <w:r w:rsidR="002F6082"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</w:p>
        </w:tc>
        <w:tc>
          <w:tcPr>
            <w:tcW w:w="6815" w:type="dxa"/>
            <w:shd w:val="clear" w:color="auto" w:fill="auto"/>
          </w:tcPr>
          <w:p w14:paraId="7C1C01DC" w14:textId="4EC88413" w:rsidR="00C50938" w:rsidRPr="007C551A" w:rsidRDefault="0023602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Experimental work brought to minimum, only to fill possible gaps that emerge from data interpretation.</w:t>
            </w:r>
          </w:p>
          <w:p w14:paraId="254E85DC" w14:textId="4815920F" w:rsidR="00C50938" w:rsidRPr="007C551A" w:rsidRDefault="0023602F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Focus on interpretation and integration of results.</w:t>
            </w:r>
          </w:p>
          <w:p w14:paraId="50720E3B" w14:textId="77777777" w:rsidR="00C50938" w:rsidRPr="007C551A" w:rsidRDefault="00C50938" w:rsidP="00A460B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A3B78EF" w14:textId="77777777" w:rsidR="00BC7E22" w:rsidRPr="007C551A" w:rsidRDefault="00BC7E22" w:rsidP="00BC7E22">
      <w:pPr>
        <w:rPr>
          <w:rFonts w:ascii="Verdana" w:hAnsi="Verdana" w:cs="Arial"/>
          <w:sz w:val="18"/>
          <w:szCs w:val="18"/>
          <w:lang w:val="en-GB"/>
        </w:rPr>
      </w:pPr>
      <w:bookmarkStart w:id="5" w:name="_Hlk21433149"/>
      <w:bookmarkEnd w:id="4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7E22" w:rsidRPr="00CD6A77" w14:paraId="2338A1F2" w14:textId="77777777" w:rsidTr="00FB3244">
        <w:tc>
          <w:tcPr>
            <w:tcW w:w="9214" w:type="dxa"/>
            <w:shd w:val="clear" w:color="auto" w:fill="auto"/>
          </w:tcPr>
          <w:p w14:paraId="569B69DA" w14:textId="459F94D5" w:rsidR="00BC7E22" w:rsidRPr="007C551A" w:rsidRDefault="00D2052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Deliverables</w:t>
            </w:r>
            <w:r w:rsidR="00BA196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/</w:t>
            </w: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products</w:t>
            </w:r>
            <w:r w:rsidR="00BC7E22"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in 201</w:t>
            </w:r>
            <w:r w:rsidR="00084783"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9</w:t>
            </w:r>
            <w:r w:rsidR="00BC7E22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61ABC" w:rsidRPr="007C551A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r w:rsidR="002F6082">
              <w:rPr>
                <w:rFonts w:ascii="Verdana" w:hAnsi="Verdana" w:cs="Arial"/>
                <w:sz w:val="18"/>
                <w:szCs w:val="18"/>
                <w:lang w:val="en-GB"/>
              </w:rPr>
              <w:t>provide</w:t>
            </w:r>
            <w:r w:rsidR="002F6082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titles and </w:t>
            </w:r>
            <w:r w:rsidR="00361BED">
              <w:rPr>
                <w:rFonts w:ascii="Verdana" w:hAnsi="Verdana" w:cs="Arial"/>
                <w:sz w:val="18"/>
                <w:szCs w:val="18"/>
                <w:lang w:val="en-GB"/>
              </w:rPr>
              <w:t>/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or </w:t>
            </w:r>
            <w:r w:rsidR="00361BED">
              <w:rPr>
                <w:rFonts w:ascii="Verdana" w:hAnsi="Verdana" w:cs="Arial"/>
                <w:sz w:val="18"/>
                <w:szCs w:val="18"/>
                <w:lang w:val="en-GB"/>
              </w:rPr>
              <w:t xml:space="preserve">a 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brief description of the pr</w:t>
            </w:r>
            <w:r w:rsidR="007C551A" w:rsidRPr="007C551A">
              <w:rPr>
                <w:rFonts w:ascii="Verdana" w:hAnsi="Verdana" w:cs="Arial"/>
                <w:sz w:val="18"/>
                <w:szCs w:val="18"/>
                <w:lang w:val="en-GB"/>
              </w:rPr>
              <w:t>oducts</w:t>
            </w:r>
            <w:r w:rsidR="00BA1960">
              <w:rPr>
                <w:rFonts w:ascii="Verdana" w:hAnsi="Verdana" w:cs="Arial"/>
                <w:sz w:val="18"/>
                <w:szCs w:val="18"/>
                <w:lang w:val="en-GB"/>
              </w:rPr>
              <w:t>/</w:t>
            </w:r>
            <w:r w:rsidR="007C551A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deliverables or 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a link to a website. </w:t>
            </w:r>
            <w:r w:rsidR="00BC7E22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126FEE" w:rsidRPr="00813DE1" w14:paraId="733B3D35" w14:textId="77777777" w:rsidTr="00C20BA1">
        <w:tc>
          <w:tcPr>
            <w:tcW w:w="9214" w:type="dxa"/>
            <w:shd w:val="clear" w:color="auto" w:fill="auto"/>
          </w:tcPr>
          <w:p w14:paraId="4EA97AE8" w14:textId="161D7763" w:rsidR="00D9283F" w:rsidRPr="007C551A" w:rsidRDefault="007C551A" w:rsidP="002D6B68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Scientific </w:t>
            </w:r>
            <w:r w:rsidR="00361BED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articles</w:t>
            </w:r>
            <w:r w:rsidR="00C50938" w:rsidRPr="007C551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:</w:t>
            </w:r>
          </w:p>
          <w:p w14:paraId="11E92B4F" w14:textId="77777777" w:rsidR="00755496" w:rsidRPr="006F2DA8" w:rsidRDefault="00755496" w:rsidP="00755496">
            <w:pPr>
              <w:ind w:left="426" w:hanging="426"/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</w:pPr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Paulus G.M.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Jochems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, Jeroen van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Bergenhenegouwen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, Anne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Metje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 van Genderen, Sophie T.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Eis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, Livia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Wilod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Versprille</w:t>
            </w:r>
            <w:proofErr w:type="spellEnd"/>
            <w:r w:rsidRPr="00755496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, Harry Wichers</w:t>
            </w:r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, Prescilla V. Jeurink, Johan Garssen, and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Rosalinde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Masereeuw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 (2019)</w:t>
            </w:r>
          </w:p>
          <w:p w14:paraId="392F4067" w14:textId="77777777" w:rsidR="00755496" w:rsidRPr="006F2DA8" w:rsidRDefault="00755496" w:rsidP="00755496">
            <w:pPr>
              <w:pStyle w:val="Kop1"/>
              <w:ind w:left="426"/>
              <w:jc w:val="left"/>
              <w:rPr>
                <w:i w:val="0"/>
                <w:color w:val="000000" w:themeColor="text1"/>
                <w:sz w:val="17"/>
                <w:szCs w:val="17"/>
                <w:lang w:val="en-GB"/>
              </w:rPr>
            </w:pPr>
            <w:r w:rsidRPr="006F2DA8">
              <w:rPr>
                <w:i w:val="0"/>
                <w:color w:val="000000" w:themeColor="text1"/>
                <w:sz w:val="17"/>
                <w:szCs w:val="17"/>
                <w:lang w:val="en-GB"/>
              </w:rPr>
              <w:t>Development and validation of bioengineered intestinal tubules for translational research aimed at safety and efficacy testing of drugs and nutrients.</w:t>
            </w:r>
          </w:p>
          <w:p w14:paraId="56DD06BF" w14:textId="64C68CED" w:rsidR="00C50938" w:rsidRPr="007C551A" w:rsidRDefault="00755496" w:rsidP="00755496">
            <w:pPr>
              <w:ind w:left="426"/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proofErr w:type="spellStart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Toxicol</w:t>
            </w:r>
            <w:proofErr w:type="spellEnd"/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. in Vitro </w:t>
            </w:r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u w:val="single"/>
                <w:lang w:val="en-GB"/>
              </w:rPr>
              <w:t>60</w:t>
            </w:r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: 1-11, published online May 6 2019, </w:t>
            </w:r>
            <w:hyperlink r:id="rId17" w:tgtFrame="_blank" w:tooltip="Persistent link using digital object identifier" w:history="1">
              <w:r w:rsidRPr="006F2DA8">
                <w:rPr>
                  <w:rStyle w:val="Hyperlink"/>
                  <w:rFonts w:ascii="Arial Narrow" w:hAnsi="Arial Narrow"/>
                  <w:color w:val="000000" w:themeColor="text1"/>
                  <w:sz w:val="17"/>
                  <w:szCs w:val="17"/>
                  <w:lang w:val="en-GB"/>
                </w:rPr>
                <w:t>doi.org/10.1016/j.tiv.2019.04.019</w:t>
              </w:r>
            </w:hyperlink>
          </w:p>
          <w:p w14:paraId="7858BFE0" w14:textId="77777777" w:rsidR="00C50938" w:rsidRPr="007C551A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5E644D85" w14:textId="77777777" w:rsidR="00755496" w:rsidRPr="00FD621C" w:rsidRDefault="00755496" w:rsidP="00755496">
            <w:pPr>
              <w:ind w:left="426" w:hanging="426"/>
              <w:rPr>
                <w:rFonts w:ascii="Arial Narrow" w:hAnsi="Arial Narrow"/>
                <w:bCs/>
                <w:color w:val="000000" w:themeColor="text1"/>
                <w:sz w:val="17"/>
                <w:szCs w:val="17"/>
              </w:rPr>
            </w:pPr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Jitske Jansen, Katja Jansen, Ellen Neven, Ruben Poesen,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Amr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Othman, Alain van Mil, Joost Sluijter, Javier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Sastre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Torano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, Esther A. Zaal, Celia R.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Berkers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, Diederik Esser, Harry J. Wichers, Karin van Ede,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Majorie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van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Duursen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, Stéphane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Burtey</w:t>
            </w:r>
            <w:proofErr w:type="spellEnd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, Marianne C. Verhaar,</w:t>
            </w:r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  <w:vertAlign w:val="superscript"/>
              </w:rPr>
              <w:t xml:space="preserve"> </w:t>
            </w:r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Björn Meijers, Rosalinde </w:t>
            </w:r>
            <w:proofErr w:type="spellStart"/>
            <w:r w:rsidRPr="00FD621C">
              <w:rPr>
                <w:rFonts w:ascii="Arial Narrow" w:hAnsi="Arial Narrow"/>
                <w:color w:val="000000" w:themeColor="text1"/>
                <w:sz w:val="17"/>
                <w:szCs w:val="17"/>
              </w:rPr>
              <w:t>Masereeuw</w:t>
            </w:r>
            <w:bookmarkStart w:id="6" w:name="_Hlk506550592"/>
            <w:proofErr w:type="spellEnd"/>
            <w:r w:rsidRPr="00FD621C">
              <w:rPr>
                <w:rFonts w:ascii="Arial Narrow" w:hAnsi="Arial Narrow"/>
                <w:bCs/>
                <w:color w:val="000000" w:themeColor="text1"/>
                <w:sz w:val="17"/>
                <w:szCs w:val="17"/>
              </w:rPr>
              <w:t xml:space="preserve"> (2019)</w:t>
            </w:r>
          </w:p>
          <w:p w14:paraId="48FED742" w14:textId="77777777" w:rsidR="00755496" w:rsidRPr="006F2DA8" w:rsidRDefault="00755496" w:rsidP="00755496">
            <w:pPr>
              <w:ind w:firstLine="426"/>
              <w:rPr>
                <w:rFonts w:ascii="Arial Narrow" w:hAnsi="Arial Narrow"/>
                <w:bCs/>
                <w:color w:val="000000" w:themeColor="text1"/>
                <w:sz w:val="17"/>
                <w:szCs w:val="17"/>
                <w:lang w:val="en-GB"/>
              </w:rPr>
            </w:pPr>
            <w:r w:rsidRPr="006F2DA8">
              <w:rPr>
                <w:rFonts w:ascii="Arial Narrow" w:hAnsi="Arial Narrow"/>
                <w:bCs/>
                <w:color w:val="000000" w:themeColor="text1"/>
                <w:sz w:val="17"/>
                <w:szCs w:val="17"/>
                <w:lang w:val="en-GB"/>
              </w:rPr>
              <w:t xml:space="preserve">Metabolite-sensing and </w:t>
            </w:r>
            <w:proofErr w:type="spellStart"/>
            <w:r w:rsidRPr="006F2DA8">
              <w:rPr>
                <w:rFonts w:ascii="Arial Narrow" w:hAnsi="Arial Narrow"/>
                <w:bCs/>
                <w:color w:val="000000" w:themeColor="text1"/>
                <w:sz w:val="17"/>
                <w:szCs w:val="17"/>
                <w:lang w:val="en-GB"/>
              </w:rPr>
              <w:t>signaling</w:t>
            </w:r>
            <w:proofErr w:type="spellEnd"/>
            <w:r w:rsidRPr="006F2DA8">
              <w:rPr>
                <w:rFonts w:ascii="Arial Narrow" w:hAnsi="Arial Narrow"/>
                <w:bCs/>
                <w:color w:val="000000" w:themeColor="text1"/>
                <w:sz w:val="17"/>
                <w:szCs w:val="17"/>
                <w:lang w:val="en-GB"/>
              </w:rPr>
              <w:t xml:space="preserve"> in kidney proximal tubules stimulates microbiome-derived organic anion secretion</w:t>
            </w:r>
            <w:bookmarkEnd w:id="6"/>
            <w:r w:rsidRPr="006F2DA8">
              <w:rPr>
                <w:rFonts w:ascii="Arial Narrow" w:hAnsi="Arial Narrow"/>
                <w:bCs/>
                <w:color w:val="000000" w:themeColor="text1"/>
                <w:sz w:val="17"/>
                <w:szCs w:val="17"/>
                <w:lang w:val="en-GB"/>
              </w:rPr>
              <w:t>.</w:t>
            </w:r>
          </w:p>
          <w:p w14:paraId="45B8103E" w14:textId="77777777" w:rsidR="00EA30FA" w:rsidRPr="00813DE1" w:rsidRDefault="00755496" w:rsidP="00EA30FA">
            <w:pPr>
              <w:ind w:left="426"/>
              <w:rPr>
                <w:sz w:val="17"/>
                <w:szCs w:val="17"/>
                <w:lang w:val="en-GB"/>
              </w:rPr>
            </w:pPr>
            <w:r w:rsidRPr="00813DE1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Proc. Natl. Acad. Sci. USA, </w:t>
            </w:r>
            <w:r w:rsidRPr="00813DE1">
              <w:rPr>
                <w:rFonts w:ascii="Arial Narrow" w:hAnsi="Arial Narrow"/>
                <w:color w:val="000000" w:themeColor="text1"/>
                <w:sz w:val="17"/>
                <w:szCs w:val="17"/>
                <w:u w:val="single"/>
                <w:lang w:val="en-GB"/>
              </w:rPr>
              <w:t>116(32)</w:t>
            </w:r>
            <w:r w:rsidRPr="00813DE1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: 16105-16110. </w:t>
            </w:r>
            <w:r w:rsidRPr="006F2DA8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>Published August 6, 2019</w:t>
            </w:r>
            <w:r w:rsidRPr="00EA30FA">
              <w:rPr>
                <w:rFonts w:ascii="Arial Narrow" w:hAnsi="Arial Narrow"/>
                <w:color w:val="000000" w:themeColor="text1"/>
                <w:sz w:val="17"/>
                <w:szCs w:val="17"/>
                <w:lang w:val="en-GB"/>
              </w:rPr>
              <w:t xml:space="preserve">; </w:t>
            </w:r>
            <w:hyperlink r:id="rId18" w:history="1">
              <w:proofErr w:type="spellStart"/>
              <w:r w:rsidR="00EA30FA" w:rsidRPr="00813DE1">
                <w:rPr>
                  <w:rStyle w:val="Hyperlink"/>
                  <w:rFonts w:ascii="Arial Narrow" w:hAnsi="Arial Narrow"/>
                  <w:sz w:val="17"/>
                  <w:szCs w:val="17"/>
                  <w:lang w:val="en-GB"/>
                </w:rPr>
                <w:t>doi</w:t>
              </w:r>
              <w:proofErr w:type="spellEnd"/>
              <w:r w:rsidR="00EA30FA" w:rsidRPr="00813DE1">
                <w:rPr>
                  <w:rStyle w:val="Hyperlink"/>
                  <w:rFonts w:ascii="Arial Narrow" w:hAnsi="Arial Narrow"/>
                  <w:sz w:val="17"/>
                  <w:szCs w:val="17"/>
                  <w:lang w:val="en-GB"/>
                </w:rPr>
                <w:t>: 10.1073/pnas.1821809116</w:t>
              </w:r>
            </w:hyperlink>
          </w:p>
          <w:p w14:paraId="3C71C264" w14:textId="27A6461E" w:rsidR="00D9283F" w:rsidRPr="007C551A" w:rsidRDefault="00D9283F" w:rsidP="00C5093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C50938" w:rsidRPr="007C551A" w14:paraId="2DF3635F" w14:textId="77777777" w:rsidTr="00C20BA1">
        <w:tc>
          <w:tcPr>
            <w:tcW w:w="9214" w:type="dxa"/>
            <w:shd w:val="clear" w:color="auto" w:fill="auto"/>
          </w:tcPr>
          <w:p w14:paraId="42A81403" w14:textId="77777777" w:rsidR="00C50938" w:rsidRPr="007C551A" w:rsidRDefault="00D20527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External reports</w:t>
            </w:r>
            <w:r w:rsidR="00C50938" w:rsidRPr="007C551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:</w:t>
            </w:r>
          </w:p>
          <w:p w14:paraId="4514975F" w14:textId="77777777" w:rsidR="00C50938" w:rsidRPr="007C551A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6B36BCBC" w14:textId="77777777" w:rsidR="00C50938" w:rsidRPr="007C551A" w:rsidRDefault="00C50938" w:rsidP="002D6B6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C50938" w:rsidRPr="00CD6A77" w14:paraId="4CE8D3BF" w14:textId="77777777" w:rsidTr="00C20BA1">
        <w:tc>
          <w:tcPr>
            <w:tcW w:w="9214" w:type="dxa"/>
            <w:shd w:val="clear" w:color="auto" w:fill="auto"/>
          </w:tcPr>
          <w:p w14:paraId="6D37FCB7" w14:textId="77777777" w:rsidR="00C50938" w:rsidRPr="00813DE1" w:rsidRDefault="00D20527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</w:pPr>
            <w:r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Articles</w:t>
            </w:r>
            <w:r w:rsidR="00C50938"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 in </w:t>
            </w:r>
            <w:proofErr w:type="spellStart"/>
            <w:r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professional</w:t>
            </w:r>
            <w:proofErr w:type="spellEnd"/>
            <w:r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 </w:t>
            </w:r>
            <w:proofErr w:type="spellStart"/>
            <w:r w:rsidR="00361BED"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journals</w:t>
            </w:r>
            <w:proofErr w:type="spellEnd"/>
            <w:r w:rsidR="00361BED"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/</w:t>
            </w:r>
            <w:r w:rsidR="007C551A"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magazines</w:t>
            </w:r>
            <w:r w:rsidR="00C50938" w:rsidRPr="00813DE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:</w:t>
            </w:r>
          </w:p>
          <w:p w14:paraId="17E6E415" w14:textId="77777777" w:rsidR="00C50938" w:rsidRPr="00813DE1" w:rsidRDefault="00C50938" w:rsidP="00C50938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FC8A6D0" w14:textId="72C09E3E" w:rsidR="00C50938" w:rsidRDefault="00EA30FA" w:rsidP="00C50938">
            <w:pPr>
              <w:rPr>
                <w:rFonts w:ascii="Arial Narrow" w:hAnsi="Arial Narrow" w:cs="Arial"/>
                <w:sz w:val="17"/>
                <w:szCs w:val="17"/>
                <w:lang w:val="en-GB"/>
              </w:rPr>
            </w:pPr>
            <w:r w:rsidRPr="00EA30FA">
              <w:rPr>
                <w:rFonts w:ascii="Arial Narrow" w:hAnsi="Arial Narrow" w:cs="Arial"/>
                <w:sz w:val="17"/>
                <w:szCs w:val="17"/>
                <w:lang w:val="en-GB"/>
              </w:rPr>
              <w:t xml:space="preserve">Discovery Magazine April 2019: ‘Raising the </w:t>
            </w:r>
            <w:proofErr w:type="spellStart"/>
            <w:r w:rsidRPr="00EA30FA">
              <w:rPr>
                <w:rFonts w:ascii="Arial Narrow" w:hAnsi="Arial Narrow" w:cs="Arial"/>
                <w:sz w:val="17"/>
                <w:szCs w:val="17"/>
                <w:lang w:val="en-GB"/>
              </w:rPr>
              <w:t>steaks</w:t>
            </w:r>
            <w:proofErr w:type="spellEnd"/>
            <w:r w:rsidRPr="00EA30FA">
              <w:rPr>
                <w:rFonts w:ascii="Arial Narrow" w:hAnsi="Arial Narrow" w:cs="Arial"/>
                <w:sz w:val="17"/>
                <w:szCs w:val="17"/>
                <w:lang w:val="en-GB"/>
              </w:rPr>
              <w:t>. There are 7.5 billion of us and counting. What’s for dinner?</w:t>
            </w:r>
          </w:p>
          <w:p w14:paraId="337B4BA5" w14:textId="1C11B94F" w:rsidR="00EA30FA" w:rsidRDefault="00EA30FA" w:rsidP="00C50938">
            <w:pPr>
              <w:rPr>
                <w:rFonts w:ascii="Arial Narrow" w:hAnsi="Arial Narrow" w:cs="Arial"/>
                <w:sz w:val="17"/>
                <w:szCs w:val="17"/>
                <w:lang w:val="en-GB"/>
              </w:rPr>
            </w:pPr>
          </w:p>
          <w:p w14:paraId="613BA741" w14:textId="62A9229A" w:rsidR="00C50938" w:rsidRPr="00EA30FA" w:rsidRDefault="00EA30FA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val="en-GB"/>
              </w:rPr>
              <w:t>Baking Europe Winter 2019: Protein foods for the elderly</w:t>
            </w:r>
          </w:p>
          <w:p w14:paraId="488C6418" w14:textId="77777777" w:rsidR="00C50938" w:rsidRPr="00EA30FA" w:rsidRDefault="00C50938" w:rsidP="002D6B6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C50938" w:rsidRPr="00A11FBF" w14:paraId="47957A9A" w14:textId="77777777" w:rsidTr="00C20BA1">
        <w:tc>
          <w:tcPr>
            <w:tcW w:w="9214" w:type="dxa"/>
            <w:shd w:val="clear" w:color="auto" w:fill="auto"/>
          </w:tcPr>
          <w:p w14:paraId="1B1016DD" w14:textId="15C80FBB" w:rsidR="00C50938" w:rsidRPr="00EF453A" w:rsidRDefault="00F21773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(P</w:t>
            </w:r>
            <w:r w:rsidR="00D20527"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oster</w:t>
            </w:r>
            <w:r w:rsidR="00EF23D5"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)</w:t>
            </w:r>
            <w:r w:rsidR="00D20527"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 presentations </w:t>
            </w:r>
            <w:r w:rsidR="00EF23D5"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at workshops, seminars</w:t>
            </w:r>
            <w:r w:rsidR="00055A94"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,</w:t>
            </w:r>
            <w:r w:rsidR="00EF23D5" w:rsidRPr="00EF453A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 or symposia. </w:t>
            </w:r>
          </w:p>
          <w:p w14:paraId="5467EA16" w14:textId="77777777" w:rsidR="00EF453A" w:rsidRDefault="00EF453A" w:rsidP="00EF453A">
            <w:pPr>
              <w:jc w:val="both"/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</w:pPr>
          </w:p>
          <w:p w14:paraId="002B3668" w14:textId="2B5419A0" w:rsidR="00EF453A" w:rsidRPr="00EF453A" w:rsidRDefault="00EF453A" w:rsidP="00EF453A">
            <w:pPr>
              <w:jc w:val="both"/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  <w:t xml:space="preserve">Presentation </w:t>
            </w:r>
          </w:p>
          <w:p w14:paraId="14D2DE32" w14:textId="77777777" w:rsidR="00EF453A" w:rsidRPr="00EF453A" w:rsidRDefault="00EF453A" w:rsidP="00EF453A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P.G.M. </w:t>
            </w:r>
            <w:proofErr w:type="spellStart"/>
            <w:r w:rsidRPr="00EF453A">
              <w:rPr>
                <w:rFonts w:ascii="Arial Narrow" w:hAnsi="Arial Narrow" w:cstheme="minorHAnsi"/>
                <w:sz w:val="17"/>
                <w:szCs w:val="17"/>
                <w:lang w:val="en-US"/>
              </w:rPr>
              <w:t>Jochems</w:t>
            </w:r>
            <w:proofErr w:type="spellEnd"/>
            <w:r w:rsidRPr="00EF453A">
              <w:rPr>
                <w:rFonts w:ascii="Arial Narrow" w:hAnsi="Arial Narrow" w:cstheme="minorHAnsi"/>
                <w:sz w:val="17"/>
                <w:szCs w:val="17"/>
                <w:lang w:val="en-US"/>
              </w:rPr>
              <w:t>. Pre-clinical protein screening in bioengineered intestinal tubules. Nutrients, Barcelona, Spain, September 2019.</w:t>
            </w:r>
          </w:p>
          <w:p w14:paraId="78A2D04C" w14:textId="76529565" w:rsidR="00EF453A" w:rsidRPr="00EF453A" w:rsidRDefault="00EF453A" w:rsidP="00EF453A">
            <w:pPr>
              <w:jc w:val="both"/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  <w:t>Poster</w:t>
            </w:r>
          </w:p>
          <w:p w14:paraId="5349D2E8" w14:textId="48AB7389" w:rsidR="00C50938" w:rsidRDefault="00EF453A" w:rsidP="00C50938">
            <w:pPr>
              <w:rPr>
                <w:rFonts w:ascii="Arial Narrow" w:hAnsi="Arial Narrow" w:cstheme="minorHAnsi"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P.G.M. </w:t>
            </w:r>
            <w:proofErr w:type="spellStart"/>
            <w:r w:rsidRPr="00EF453A">
              <w:rPr>
                <w:rFonts w:ascii="Arial Narrow" w:hAnsi="Arial Narrow" w:cstheme="minorHAnsi"/>
                <w:sz w:val="17"/>
                <w:szCs w:val="17"/>
                <w:lang w:val="en-US"/>
              </w:rPr>
              <w:t>Jochems</w:t>
            </w:r>
            <w:proofErr w:type="spellEnd"/>
            <w:r w:rsidRPr="00EF453A">
              <w:rPr>
                <w:rFonts w:ascii="Arial Narrow" w:hAnsi="Arial Narrow" w:cstheme="minorHAnsi"/>
                <w:sz w:val="17"/>
                <w:szCs w:val="17"/>
                <w:lang w:val="en-US"/>
              </w:rPr>
              <w:t>. Developing a novel 3-dimensional small intestinal-like chip for xenobiotic screening. (ISSX), Portland, Oregon, USA. July 28 - Aug. 1, 2019</w:t>
            </w:r>
          </w:p>
          <w:p w14:paraId="59AA804B" w14:textId="16ED3797" w:rsidR="00A11FBF" w:rsidRPr="00EF453A" w:rsidRDefault="00A11FBF" w:rsidP="00A11FBF">
            <w:pPr>
              <w:jc w:val="both"/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  <w:t>Poster</w:t>
            </w:r>
            <w:r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  <w:t xml:space="preserve"> abstract</w:t>
            </w:r>
          </w:p>
          <w:p w14:paraId="5F4DEC8B" w14:textId="414112C4" w:rsidR="00A11FBF" w:rsidRDefault="00A11FBF" w:rsidP="00A11FBF">
            <w:pPr>
              <w:rPr>
                <w:rFonts w:ascii="Arial Narrow" w:hAnsi="Arial Narrow" w:cstheme="minorBidi"/>
                <w:sz w:val="17"/>
                <w:szCs w:val="17"/>
                <w:lang w:val="en-US"/>
              </w:rPr>
            </w:pPr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van </w:t>
            </w:r>
            <w:proofErr w:type="spellStart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de</w:t>
            </w:r>
            <w:proofErr w:type="spellEnd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 Berg-Somhorst, B. P. M., Bastiaan-Net, S., Evers, D., El </w:t>
            </w:r>
            <w:proofErr w:type="spellStart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Bachrioui</w:t>
            </w:r>
            <w:proofErr w:type="spellEnd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, K., Ar</w:t>
            </w:r>
            <w:r>
              <w:rPr>
                <w:rFonts w:ascii="Arial Narrow" w:hAnsi="Arial Narrow" w:cstheme="minorBidi"/>
                <w:sz w:val="17"/>
                <w:szCs w:val="17"/>
                <w:lang w:val="en-US"/>
              </w:rPr>
              <w:t>iens, R. M. C. &amp; Wichers, H. J.</w:t>
            </w:r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 Antihypertensive Activity Of Food Protein Hydrolysates From Sustainable Sources</w:t>
            </w:r>
            <w:r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. </w:t>
            </w:r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6th International Conference on Food Digestion</w:t>
            </w:r>
            <w:r>
              <w:rPr>
                <w:rFonts w:ascii="Arial Narrow" w:hAnsi="Arial Narrow" w:cstheme="minorBidi"/>
                <w:sz w:val="17"/>
                <w:szCs w:val="17"/>
                <w:lang w:val="en-US"/>
              </w:rPr>
              <w:t>, Granada, Spain, 2-4 April 2019</w:t>
            </w:r>
          </w:p>
          <w:p w14:paraId="561BADB7" w14:textId="4C0738D3" w:rsidR="00A11FBF" w:rsidRDefault="00A11FBF" w:rsidP="00A11FBF">
            <w:pPr>
              <w:rPr>
                <w:rFonts w:ascii="Arial Narrow" w:hAnsi="Arial Narrow" w:cstheme="minorBidi"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  <w:t>Poster</w:t>
            </w:r>
          </w:p>
          <w:p w14:paraId="40437D40" w14:textId="7C5A7041" w:rsidR="00A11FBF" w:rsidRPr="00A11FBF" w:rsidRDefault="00A11FBF" w:rsidP="00A11FBF">
            <w:pPr>
              <w:rPr>
                <w:rFonts w:ascii="Arial Narrow" w:hAnsi="Arial Narrow" w:cstheme="minorBidi"/>
                <w:sz w:val="17"/>
                <w:szCs w:val="17"/>
                <w:lang w:val="en-US"/>
              </w:rPr>
            </w:pPr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Ariens, R. M. C., El </w:t>
            </w:r>
            <w:proofErr w:type="spellStart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Bachrioui</w:t>
            </w:r>
            <w:proofErr w:type="spellEnd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, K., van </w:t>
            </w:r>
            <w:proofErr w:type="spellStart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de</w:t>
            </w:r>
            <w:proofErr w:type="spellEnd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 Berg-Somhorst, B. P. M., Bastiaan-Net, S. &amp; Wichers, H. J. Effect Of Ultra-Filtration After In Vitro Digestion Of Sustainable Food Proteins On SCFA Production By Microbiota Fermentation</w:t>
            </w:r>
            <w:r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. </w:t>
            </w:r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6th International Conference on Food Digestion</w:t>
            </w:r>
            <w:r>
              <w:rPr>
                <w:rFonts w:ascii="Arial Narrow" w:hAnsi="Arial Narrow" w:cstheme="minorBidi"/>
                <w:sz w:val="17"/>
                <w:szCs w:val="17"/>
                <w:lang w:val="en-US"/>
              </w:rPr>
              <w:t>, Granada, Spain, 2-4 April 2019</w:t>
            </w:r>
          </w:p>
          <w:p w14:paraId="6088AD07" w14:textId="77777777" w:rsidR="00A11FBF" w:rsidRDefault="00A11FBF" w:rsidP="00A11FBF">
            <w:pPr>
              <w:rPr>
                <w:rFonts w:ascii="Arial Narrow" w:hAnsi="Arial Narrow" w:cstheme="minorBidi"/>
                <w:sz w:val="17"/>
                <w:szCs w:val="17"/>
                <w:lang w:val="en-US"/>
              </w:rPr>
            </w:pPr>
            <w:r w:rsidRPr="00EF453A">
              <w:rPr>
                <w:rFonts w:ascii="Arial Narrow" w:hAnsi="Arial Narrow" w:cstheme="minorHAnsi"/>
                <w:b/>
                <w:bCs/>
                <w:sz w:val="17"/>
                <w:szCs w:val="17"/>
                <w:lang w:val="en-US"/>
              </w:rPr>
              <w:t>Poster</w:t>
            </w:r>
          </w:p>
          <w:p w14:paraId="47998A26" w14:textId="5B76E955" w:rsidR="00A11FBF" w:rsidRPr="00A11FBF" w:rsidRDefault="00A11FBF" w:rsidP="00A11FBF">
            <w:pPr>
              <w:rPr>
                <w:rFonts w:ascii="Arial Narrow" w:hAnsi="Arial Narrow" w:cstheme="minorBidi"/>
                <w:sz w:val="17"/>
                <w:szCs w:val="17"/>
                <w:lang w:val="en-US"/>
              </w:rPr>
            </w:pPr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Ariens, R. M. C., El </w:t>
            </w:r>
            <w:proofErr w:type="spellStart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Bachrioui</w:t>
            </w:r>
            <w:proofErr w:type="spellEnd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, K., van </w:t>
            </w:r>
            <w:proofErr w:type="spellStart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>de</w:t>
            </w:r>
            <w:proofErr w:type="spellEnd"/>
            <w:r w:rsidRPr="00A11FBF">
              <w:rPr>
                <w:rFonts w:ascii="Arial Narrow" w:hAnsi="Arial Narrow" w:cstheme="minorBidi"/>
                <w:sz w:val="17"/>
                <w:szCs w:val="17"/>
                <w:lang w:val="en-US"/>
              </w:rPr>
              <w:t xml:space="preserve"> Berg-Somhorst, B. P. M., Bastiaan-Net, S. &amp; Wichers, H. J. Effect Of Ultra-Filtration After In Vitro Digestion Of Sustainable Food Proteins On SCFA Production By Microbiota Fermentation</w:t>
            </w:r>
            <w:r>
              <w:rPr>
                <w:rFonts w:ascii="Arial Narrow" w:hAnsi="Arial Narrow" w:cstheme="minorBidi"/>
                <w:sz w:val="17"/>
                <w:szCs w:val="17"/>
                <w:lang w:val="en-US"/>
              </w:rPr>
              <w:t>. 21th Gut day symposium, Amsterdam, the Netherlands, 5 December 2019</w:t>
            </w:r>
          </w:p>
          <w:p w14:paraId="7879BB8C" w14:textId="6B809E3D" w:rsidR="00A11FBF" w:rsidRPr="00A11FBF" w:rsidRDefault="00A11FBF" w:rsidP="00A11FBF">
            <w:pPr>
              <w:rPr>
                <w:rFonts w:ascii="Arial Narrow" w:hAnsi="Arial Narrow" w:cstheme="minorBidi"/>
                <w:sz w:val="17"/>
                <w:szCs w:val="17"/>
                <w:lang w:val="en-US"/>
              </w:rPr>
            </w:pPr>
          </w:p>
          <w:p w14:paraId="0A71B766" w14:textId="77777777" w:rsidR="00C50938" w:rsidRPr="00A11FBF" w:rsidRDefault="00C50938" w:rsidP="00A11FB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50938" w:rsidRPr="00CD6A77" w14:paraId="7D0E7EAA" w14:textId="77777777" w:rsidTr="00C20BA1">
        <w:tc>
          <w:tcPr>
            <w:tcW w:w="9214" w:type="dxa"/>
            <w:shd w:val="clear" w:color="auto" w:fill="auto"/>
          </w:tcPr>
          <w:p w14:paraId="4C8D48C6" w14:textId="06C67FA5" w:rsidR="00C50938" w:rsidRPr="00506561" w:rsidRDefault="00EF23D5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</w:pPr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 xml:space="preserve">TV/ </w:t>
            </w:r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r</w:t>
            </w:r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 xml:space="preserve">adio / </w:t>
            </w:r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s</w:t>
            </w:r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 xml:space="preserve">ocial </w:t>
            </w:r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m</w:t>
            </w:r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 xml:space="preserve">edia / </w:t>
            </w:r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n</w:t>
            </w:r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ew</w:t>
            </w:r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sp</w:t>
            </w:r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aper</w:t>
            </w:r>
            <w:r w:rsidR="00C50938" w:rsidRPr="00506561"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  <w:t>:</w:t>
            </w:r>
          </w:p>
          <w:p w14:paraId="632DC42C" w14:textId="77777777" w:rsidR="00C50938" w:rsidRPr="00506561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  <w:lang w:val="it-IT"/>
              </w:rPr>
            </w:pPr>
          </w:p>
          <w:p w14:paraId="6A98A568" w14:textId="77777777" w:rsidR="00C50938" w:rsidRPr="00506561" w:rsidRDefault="00C50938" w:rsidP="002D6B68">
            <w:pPr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C50938" w:rsidRPr="004F513D" w14:paraId="2E634C85" w14:textId="77777777" w:rsidTr="00C20BA1">
        <w:tc>
          <w:tcPr>
            <w:tcW w:w="9214" w:type="dxa"/>
            <w:shd w:val="clear" w:color="auto" w:fill="auto"/>
          </w:tcPr>
          <w:p w14:paraId="6BD2062A" w14:textId="73437377" w:rsidR="00EF453A" w:rsidRPr="00506561" w:rsidRDefault="00EF23D5" w:rsidP="002D6B68">
            <w:pPr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</w:pPr>
            <w:proofErr w:type="spellStart"/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lastRenderedPageBreak/>
              <w:t>Remaining</w:t>
            </w:r>
            <w:proofErr w:type="spellEnd"/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 </w:t>
            </w:r>
            <w:proofErr w:type="spellStart"/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deliverables</w:t>
            </w:r>
            <w:proofErr w:type="spellEnd"/>
            <w:r w:rsidR="00A61ABC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 (</w:t>
            </w:r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techniques</w:t>
            </w:r>
            <w:r w:rsidR="00A61ABC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, </w:t>
            </w:r>
            <w:proofErr w:type="spellStart"/>
            <w:r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devices</w:t>
            </w:r>
            <w:proofErr w:type="spellEnd"/>
            <w:r w:rsidR="00A61ABC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, </w:t>
            </w:r>
            <w:proofErr w:type="spellStart"/>
            <w:r w:rsidR="00A61ABC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methods</w:t>
            </w:r>
            <w:proofErr w:type="spellEnd"/>
            <w:r w:rsidR="005A120E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,</w:t>
            </w:r>
            <w:r w:rsidR="00A61ABC" w:rsidRPr="00506561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 etc.):</w:t>
            </w:r>
          </w:p>
          <w:p w14:paraId="4072C8ED" w14:textId="1ABEC95D" w:rsidR="004F513D" w:rsidRDefault="004F513D" w:rsidP="004F513D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n-US"/>
              </w:rPr>
            </w:pPr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>Paper: with respect to the protein screening</w:t>
            </w:r>
          </w:p>
          <w:p w14:paraId="243FB873" w14:textId="7A6CDF4C" w:rsidR="004F513D" w:rsidRDefault="004F513D" w:rsidP="004F513D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n-US"/>
              </w:rPr>
            </w:pPr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Paper: </w:t>
            </w:r>
            <w:proofErr w:type="spellStart"/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>ToxA</w:t>
            </w:r>
            <w:proofErr w:type="spellEnd"/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 reparation effect</w:t>
            </w:r>
          </w:p>
          <w:p w14:paraId="19305C71" w14:textId="07D05296" w:rsidR="004F513D" w:rsidRDefault="004F513D" w:rsidP="004F513D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n-US"/>
              </w:rPr>
            </w:pPr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Paper: In vitro meets clinical </w:t>
            </w:r>
          </w:p>
          <w:p w14:paraId="5DFCFDBC" w14:textId="4D8F0E9F" w:rsidR="00B21BC5" w:rsidRDefault="00B21BC5" w:rsidP="004F513D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>Total:PhD</w:t>
            </w:r>
            <w:proofErr w:type="spellEnd"/>
            <w:r>
              <w:rPr>
                <w:rFonts w:ascii="Arial Narrow" w:hAnsi="Arial Narrow" w:cstheme="minorHAnsi"/>
                <w:sz w:val="17"/>
                <w:szCs w:val="17"/>
                <w:lang w:val="en-US"/>
              </w:rPr>
              <w:t xml:space="preserve"> thesis</w:t>
            </w:r>
          </w:p>
          <w:p w14:paraId="49787D14" w14:textId="2631F7E3" w:rsidR="00A61ABC" w:rsidRPr="004F513D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327B6581" w14:textId="77777777" w:rsidR="004877A0" w:rsidRPr="004F513D" w:rsidRDefault="004877A0" w:rsidP="003D5216">
      <w:pPr>
        <w:rPr>
          <w:rFonts w:ascii="Verdana" w:hAnsi="Verdana" w:cs="Arial"/>
          <w:sz w:val="18"/>
          <w:szCs w:val="18"/>
          <w:lang w:val="en-US"/>
        </w:rPr>
      </w:pPr>
    </w:p>
    <w:bookmarkEnd w:id="5"/>
    <w:p w14:paraId="0985C25B" w14:textId="77777777" w:rsidR="00B406BC" w:rsidRPr="004F513D" w:rsidRDefault="00B406BC" w:rsidP="00573F99">
      <w:pPr>
        <w:rPr>
          <w:rFonts w:ascii="Verdana" w:hAnsi="Verdana"/>
          <w:lang w:val="en-US"/>
        </w:rPr>
      </w:pPr>
    </w:p>
    <w:p w14:paraId="6B7DD2EE" w14:textId="61A24891" w:rsidR="00B406BC" w:rsidRDefault="00095186" w:rsidP="00573F99">
      <w:pPr>
        <w:rPr>
          <w:rFonts w:ascii="Verdana" w:hAnsi="Verdana"/>
          <w:lang w:val="en-US"/>
        </w:rPr>
      </w:pPr>
      <w:hyperlink r:id="rId19" w:history="1">
        <w:r w:rsidR="00FD621C" w:rsidRPr="008C0ABE">
          <w:rPr>
            <w:rStyle w:val="Hyperlink"/>
            <w:rFonts w:ascii="Verdana" w:hAnsi="Verdana"/>
            <w:lang w:val="en-US"/>
          </w:rPr>
          <w:t>https://topsectoragrifood.nl/project/future-proteins/</w:t>
        </w:r>
      </w:hyperlink>
    </w:p>
    <w:p w14:paraId="75776C8F" w14:textId="77777777" w:rsidR="00FD621C" w:rsidRPr="004F513D" w:rsidRDefault="00FD621C" w:rsidP="00573F99">
      <w:pPr>
        <w:rPr>
          <w:rFonts w:ascii="Verdana" w:hAnsi="Verdana"/>
          <w:lang w:val="en-US"/>
        </w:rPr>
      </w:pPr>
    </w:p>
    <w:p w14:paraId="5F790AB9" w14:textId="4FE32AA8" w:rsidR="00FD621C" w:rsidRPr="00172BAE" w:rsidRDefault="00FD621C" w:rsidP="00FD621C">
      <w:pPr>
        <w:rPr>
          <w:rFonts w:ascii="Verdana" w:hAnsi="Verdana" w:cs="Arial"/>
          <w:sz w:val="18"/>
          <w:szCs w:val="18"/>
          <w:lang w:val="en-GB"/>
        </w:rPr>
      </w:pPr>
      <w:hyperlink r:id="rId20" w:history="1">
        <w:r w:rsidRPr="00FD621C">
          <w:rPr>
            <w:rStyle w:val="Hyperlink"/>
            <w:lang w:val="en-US"/>
          </w:rPr>
          <w:t>https://www.wur.nl/nl/project/Eiwitten-van-de-toekomst-nutritionele-kwaliteit-en-bio-functionele-activiteit-na-vertering.htm</w:t>
        </w:r>
      </w:hyperlink>
    </w:p>
    <w:sectPr w:rsidR="00FD621C" w:rsidRPr="00172BAE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9F8D" w14:textId="77777777" w:rsidR="00095186" w:rsidRDefault="00095186">
      <w:r>
        <w:separator/>
      </w:r>
    </w:p>
  </w:endnote>
  <w:endnote w:type="continuationSeparator" w:id="0">
    <w:p w14:paraId="2E4AF5DF" w14:textId="77777777" w:rsidR="00095186" w:rsidRDefault="000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536C" w14:textId="77777777" w:rsidR="00095186" w:rsidRDefault="00095186">
      <w:r>
        <w:separator/>
      </w:r>
    </w:p>
  </w:footnote>
  <w:footnote w:type="continuationSeparator" w:id="0">
    <w:p w14:paraId="1C4F08FD" w14:textId="77777777" w:rsidR="00095186" w:rsidRDefault="0009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zMzMrAwNTUyMzJR0lEKTi0uzszPAykwqgUAFZ7tsSwAAAA="/>
  </w:docVars>
  <w:rsids>
    <w:rsidRoot w:val="00F15ABF"/>
    <w:rsid w:val="00007C68"/>
    <w:rsid w:val="00010369"/>
    <w:rsid w:val="0001280A"/>
    <w:rsid w:val="00020D2F"/>
    <w:rsid w:val="000441F5"/>
    <w:rsid w:val="00055A94"/>
    <w:rsid w:val="00063583"/>
    <w:rsid w:val="0008124E"/>
    <w:rsid w:val="00084783"/>
    <w:rsid w:val="00095186"/>
    <w:rsid w:val="000B15FC"/>
    <w:rsid w:val="000B4EE7"/>
    <w:rsid w:val="000D0050"/>
    <w:rsid w:val="000D700A"/>
    <w:rsid w:val="00104650"/>
    <w:rsid w:val="00111FEC"/>
    <w:rsid w:val="00126FEE"/>
    <w:rsid w:val="00140695"/>
    <w:rsid w:val="00143BF4"/>
    <w:rsid w:val="0017000E"/>
    <w:rsid w:val="00194B91"/>
    <w:rsid w:val="001B7013"/>
    <w:rsid w:val="001C1317"/>
    <w:rsid w:val="001D3D10"/>
    <w:rsid w:val="001D446E"/>
    <w:rsid w:val="001E5F19"/>
    <w:rsid w:val="001F1683"/>
    <w:rsid w:val="00205AB3"/>
    <w:rsid w:val="00210164"/>
    <w:rsid w:val="0023602F"/>
    <w:rsid w:val="00245255"/>
    <w:rsid w:val="002643A5"/>
    <w:rsid w:val="0027128C"/>
    <w:rsid w:val="00280484"/>
    <w:rsid w:val="002866C7"/>
    <w:rsid w:val="00296299"/>
    <w:rsid w:val="002A6C02"/>
    <w:rsid w:val="002D28C7"/>
    <w:rsid w:val="002D6B68"/>
    <w:rsid w:val="002F6082"/>
    <w:rsid w:val="00306D8F"/>
    <w:rsid w:val="00347768"/>
    <w:rsid w:val="00361BED"/>
    <w:rsid w:val="003735C2"/>
    <w:rsid w:val="00382E67"/>
    <w:rsid w:val="003A34E5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C59CD"/>
    <w:rsid w:val="004D2FCA"/>
    <w:rsid w:val="004D3DC6"/>
    <w:rsid w:val="004D7880"/>
    <w:rsid w:val="004F513D"/>
    <w:rsid w:val="00502949"/>
    <w:rsid w:val="00506561"/>
    <w:rsid w:val="00516F00"/>
    <w:rsid w:val="0052278C"/>
    <w:rsid w:val="00523F64"/>
    <w:rsid w:val="005356A9"/>
    <w:rsid w:val="00540F85"/>
    <w:rsid w:val="00543A4D"/>
    <w:rsid w:val="0056098D"/>
    <w:rsid w:val="0056706A"/>
    <w:rsid w:val="00573F99"/>
    <w:rsid w:val="005749D9"/>
    <w:rsid w:val="005A120E"/>
    <w:rsid w:val="005C41E3"/>
    <w:rsid w:val="005D0B10"/>
    <w:rsid w:val="005D5BBF"/>
    <w:rsid w:val="005E57D5"/>
    <w:rsid w:val="005F3375"/>
    <w:rsid w:val="00612E5A"/>
    <w:rsid w:val="00615D24"/>
    <w:rsid w:val="0066052C"/>
    <w:rsid w:val="00692ED1"/>
    <w:rsid w:val="006A073E"/>
    <w:rsid w:val="006A36B0"/>
    <w:rsid w:val="006A742C"/>
    <w:rsid w:val="006C4777"/>
    <w:rsid w:val="006D525B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5496"/>
    <w:rsid w:val="00757629"/>
    <w:rsid w:val="00775D78"/>
    <w:rsid w:val="007870DE"/>
    <w:rsid w:val="007C551A"/>
    <w:rsid w:val="007C70E9"/>
    <w:rsid w:val="007D657C"/>
    <w:rsid w:val="007D73E1"/>
    <w:rsid w:val="007E5059"/>
    <w:rsid w:val="007E5A98"/>
    <w:rsid w:val="0081352C"/>
    <w:rsid w:val="00813DE1"/>
    <w:rsid w:val="00823B51"/>
    <w:rsid w:val="00831AF6"/>
    <w:rsid w:val="00831D59"/>
    <w:rsid w:val="00850776"/>
    <w:rsid w:val="0085616F"/>
    <w:rsid w:val="00874A36"/>
    <w:rsid w:val="00884DA6"/>
    <w:rsid w:val="008A1783"/>
    <w:rsid w:val="008A4612"/>
    <w:rsid w:val="008B345E"/>
    <w:rsid w:val="008C2AE7"/>
    <w:rsid w:val="008C7C19"/>
    <w:rsid w:val="008D355E"/>
    <w:rsid w:val="008D7DC9"/>
    <w:rsid w:val="008F026F"/>
    <w:rsid w:val="00900657"/>
    <w:rsid w:val="0090149F"/>
    <w:rsid w:val="009177B5"/>
    <w:rsid w:val="00940B48"/>
    <w:rsid w:val="009540DF"/>
    <w:rsid w:val="009D1952"/>
    <w:rsid w:val="009E159A"/>
    <w:rsid w:val="009F5F7D"/>
    <w:rsid w:val="00A11FBF"/>
    <w:rsid w:val="00A22306"/>
    <w:rsid w:val="00A460B1"/>
    <w:rsid w:val="00A55CBB"/>
    <w:rsid w:val="00A61ABC"/>
    <w:rsid w:val="00A61D56"/>
    <w:rsid w:val="00A662C3"/>
    <w:rsid w:val="00AA078F"/>
    <w:rsid w:val="00AB2C65"/>
    <w:rsid w:val="00AB5248"/>
    <w:rsid w:val="00AE512D"/>
    <w:rsid w:val="00AF068A"/>
    <w:rsid w:val="00B12917"/>
    <w:rsid w:val="00B20E08"/>
    <w:rsid w:val="00B21BC5"/>
    <w:rsid w:val="00B406BC"/>
    <w:rsid w:val="00B619A6"/>
    <w:rsid w:val="00B64103"/>
    <w:rsid w:val="00B75D93"/>
    <w:rsid w:val="00B949B8"/>
    <w:rsid w:val="00B97B43"/>
    <w:rsid w:val="00BA1960"/>
    <w:rsid w:val="00BA7A66"/>
    <w:rsid w:val="00BB4922"/>
    <w:rsid w:val="00BC6F40"/>
    <w:rsid w:val="00BC7E22"/>
    <w:rsid w:val="00BF0664"/>
    <w:rsid w:val="00BF2228"/>
    <w:rsid w:val="00C0418A"/>
    <w:rsid w:val="00C20BA1"/>
    <w:rsid w:val="00C215CF"/>
    <w:rsid w:val="00C21F9A"/>
    <w:rsid w:val="00C31744"/>
    <w:rsid w:val="00C50938"/>
    <w:rsid w:val="00C849C2"/>
    <w:rsid w:val="00CB1408"/>
    <w:rsid w:val="00CC01F2"/>
    <w:rsid w:val="00CD24DC"/>
    <w:rsid w:val="00CD6A77"/>
    <w:rsid w:val="00D20527"/>
    <w:rsid w:val="00D20B07"/>
    <w:rsid w:val="00D31C69"/>
    <w:rsid w:val="00D73730"/>
    <w:rsid w:val="00D9283F"/>
    <w:rsid w:val="00D93FB0"/>
    <w:rsid w:val="00DB2277"/>
    <w:rsid w:val="00DD207A"/>
    <w:rsid w:val="00DE6481"/>
    <w:rsid w:val="00DF1DB7"/>
    <w:rsid w:val="00DF46E8"/>
    <w:rsid w:val="00E0706A"/>
    <w:rsid w:val="00E13164"/>
    <w:rsid w:val="00E15230"/>
    <w:rsid w:val="00E30BF1"/>
    <w:rsid w:val="00E40683"/>
    <w:rsid w:val="00E41F9B"/>
    <w:rsid w:val="00E4320F"/>
    <w:rsid w:val="00E47030"/>
    <w:rsid w:val="00E7561B"/>
    <w:rsid w:val="00E77340"/>
    <w:rsid w:val="00EA30FA"/>
    <w:rsid w:val="00EB589E"/>
    <w:rsid w:val="00ED708C"/>
    <w:rsid w:val="00ED7225"/>
    <w:rsid w:val="00EF23D5"/>
    <w:rsid w:val="00EF340B"/>
    <w:rsid w:val="00EF453A"/>
    <w:rsid w:val="00F13166"/>
    <w:rsid w:val="00F15ABF"/>
    <w:rsid w:val="00F21773"/>
    <w:rsid w:val="00F23B87"/>
    <w:rsid w:val="00F45386"/>
    <w:rsid w:val="00F53011"/>
    <w:rsid w:val="00F6124B"/>
    <w:rsid w:val="00F80983"/>
    <w:rsid w:val="00FA4086"/>
    <w:rsid w:val="00FB3244"/>
    <w:rsid w:val="00FB5DCD"/>
    <w:rsid w:val="00FC3E75"/>
    <w:rsid w:val="00FC621E"/>
    <w:rsid w:val="00FD621C"/>
    <w:rsid w:val="00FF38D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78BC"/>
  <w15:chartTrackingRefBased/>
  <w15:docId w15:val="{93CFDB26-7791-4865-B15D-A5AAA65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paragraph" w:styleId="Kop1">
    <w:name w:val="heading 1"/>
    <w:basedOn w:val="Standaard"/>
    <w:link w:val="Kop1Char"/>
    <w:qFormat/>
    <w:rsid w:val="00755496"/>
    <w:pPr>
      <w:keepNext/>
      <w:ind w:left="720"/>
      <w:jc w:val="both"/>
      <w:outlineLvl w:val="0"/>
    </w:pPr>
    <w:rPr>
      <w:rFonts w:ascii="Arial Narrow" w:hAnsi="Arial Narrow"/>
      <w:i/>
      <w:iCs/>
      <w:kern w:val="3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character" w:customStyle="1" w:styleId="Kop1Char">
    <w:name w:val="Kop 1 Char"/>
    <w:basedOn w:val="Standaardalinea-lettertype"/>
    <w:link w:val="Kop1"/>
    <w:rsid w:val="00755496"/>
    <w:rPr>
      <w:rFonts w:ascii="Arial Narrow" w:hAnsi="Arial Narrow"/>
      <w:i/>
      <w:iCs/>
      <w:kern w:val="36"/>
      <w:sz w:val="24"/>
      <w:szCs w:val="24"/>
    </w:rPr>
  </w:style>
  <w:style w:type="character" w:styleId="GevolgdeHyperlink">
    <w:name w:val="FollowedHyperlink"/>
    <w:basedOn w:val="Standaardalinea-lettertype"/>
    <w:rsid w:val="00EA3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ry.wichers@wur.nl" TargetMode="External"/><Relationship Id="rId18" Type="http://schemas.openxmlformats.org/officeDocument/2006/relationships/hyperlink" Target="https://www.pnas.org/content/116/32/161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doi.org/10.1016/j.tiv.2019.04.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.wur.nl/sites/futureproteins/SitePages/Home.aspx" TargetMode="External"/><Relationship Id="rId20" Type="http://schemas.openxmlformats.org/officeDocument/2006/relationships/hyperlink" Target="https://www.wur.nl/nl/project/Eiwitten-van-de-toekomst-nutritionele-kwaliteit-en-bio-functionele-activiteit-na-vertering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opsectoragrifood.nl/project/future-protein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opsectoragrifood.nl/project/future-protei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roen.vanbergen@danon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EE176-2A24-409B-B0AB-F1C7FF3B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23651-B33D-45FE-9F12-CC141AD2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6429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Rietveld, Mark</dc:creator>
  <cp:keywords/>
  <cp:lastModifiedBy>Marleen Scholte</cp:lastModifiedBy>
  <cp:revision>4</cp:revision>
  <cp:lastPrinted>2020-02-13T10:11:00Z</cp:lastPrinted>
  <dcterms:created xsi:type="dcterms:W3CDTF">2020-02-18T08:20:00Z</dcterms:created>
  <dcterms:modified xsi:type="dcterms:W3CDTF">2020-05-01T12:55:00Z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