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AE10" w14:textId="77777777" w:rsidR="00D8097F" w:rsidRPr="00B05347" w:rsidRDefault="009436B0" w:rsidP="009436B0">
      <w:pPr>
        <w:spacing w:after="0"/>
        <w:ind w:right="953"/>
        <w:jc w:val="right"/>
        <w:rPr>
          <w:rFonts w:ascii="Verdana" w:hAnsi="Verdana"/>
          <w:sz w:val="20"/>
          <w:szCs w:val="20"/>
        </w:rPr>
      </w:pPr>
      <w:r w:rsidRPr="00B05347"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 wp14:anchorId="24A0A272" wp14:editId="4184BDCA">
            <wp:extent cx="1005840" cy="754380"/>
            <wp:effectExtent l="0" t="0" r="3810" b="762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347" w:rsidRPr="00B0534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F18665E" w14:textId="77777777" w:rsidR="00D8097F" w:rsidRPr="00B05347" w:rsidRDefault="00B05347">
      <w:pPr>
        <w:spacing w:after="0"/>
        <w:rPr>
          <w:rFonts w:ascii="Verdana" w:hAnsi="Verdana"/>
          <w:sz w:val="20"/>
          <w:szCs w:val="20"/>
        </w:rPr>
      </w:pPr>
      <w:r w:rsidRPr="00B0534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0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3229"/>
        <w:gridCol w:w="5984"/>
      </w:tblGrid>
      <w:tr w:rsidR="00D8097F" w:rsidRPr="00B05347" w14:paraId="09671680" w14:textId="77777777">
        <w:trPr>
          <w:trHeight w:val="22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BF3B9" w14:textId="77777777" w:rsidR="00D8097F" w:rsidRPr="00B05347" w:rsidRDefault="00B05347">
            <w:pPr>
              <w:spacing w:after="0"/>
              <w:ind w:left="3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Algemene gegevens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1D64E" w14:textId="77777777" w:rsidR="00D8097F" w:rsidRPr="00B05347" w:rsidRDefault="00D809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097F" w:rsidRPr="00B05347" w14:paraId="4408160C" w14:textId="77777777">
        <w:trPr>
          <w:trHeight w:val="23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EDC3" w14:textId="77777777" w:rsidR="00D8097F" w:rsidRPr="00B05347" w:rsidRDefault="00B05347">
            <w:pPr>
              <w:spacing w:after="0"/>
              <w:ind w:left="3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TKI-Nummer 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33B3" w14:textId="77777777" w:rsidR="00D8097F" w:rsidRPr="00B05347" w:rsidRDefault="00B0534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AF 15027 </w:t>
            </w:r>
          </w:p>
        </w:tc>
      </w:tr>
      <w:tr w:rsidR="00D8097F" w:rsidRPr="00B05347" w14:paraId="1A30FE3D" w14:textId="77777777">
        <w:trPr>
          <w:trHeight w:val="44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90CC" w14:textId="77777777" w:rsidR="00D8097F" w:rsidRPr="00B05347" w:rsidRDefault="00B05347">
            <w:pPr>
              <w:spacing w:after="0"/>
              <w:ind w:left="3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Titel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8BB1" w14:textId="77777777" w:rsidR="00D8097F" w:rsidRPr="00B05347" w:rsidRDefault="00B05347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SUSFANS: Metrics, models and foresight for sustainable food and nutrition security in Europe. </w:t>
            </w:r>
          </w:p>
        </w:tc>
      </w:tr>
      <w:tr w:rsidR="00D8097F" w:rsidRPr="00B05347" w14:paraId="7AD7BB73" w14:textId="77777777">
        <w:trPr>
          <w:trHeight w:val="23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414" w14:textId="77777777" w:rsidR="00D8097F" w:rsidRPr="00B05347" w:rsidRDefault="00B05347">
            <w:pPr>
              <w:spacing w:after="0"/>
              <w:ind w:left="3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B05347">
              <w:rPr>
                <w:rFonts w:ascii="Verdana" w:eastAsia="Verdana" w:hAnsi="Verdana" w:cs="Verdana"/>
                <w:sz w:val="20"/>
                <w:szCs w:val="20"/>
                <w:lang w:val="en-GB"/>
              </w:rPr>
              <w:t>Topsector</w:t>
            </w:r>
            <w:proofErr w:type="spellEnd"/>
            <w:r w:rsidRPr="00B05347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(A&amp;F of T&amp;U)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FCC3" w14:textId="77777777" w:rsidR="00D8097F" w:rsidRPr="00B05347" w:rsidRDefault="00B05347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r w:rsidR="009436B0" w:rsidRPr="00B05347">
              <w:rPr>
                <w:rFonts w:ascii="Verdana" w:eastAsia="Verdana" w:hAnsi="Verdana" w:cs="Verdana"/>
                <w:sz w:val="20"/>
                <w:szCs w:val="20"/>
                <w:lang w:val="en-GB"/>
              </w:rPr>
              <w:t>-</w:t>
            </w:r>
          </w:p>
        </w:tc>
      </w:tr>
      <w:tr w:rsidR="00D8097F" w:rsidRPr="00B05347" w14:paraId="0286DCA0" w14:textId="77777777">
        <w:trPr>
          <w:trHeight w:val="22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194C" w14:textId="77777777" w:rsidR="00D8097F" w:rsidRPr="00B05347" w:rsidRDefault="00B05347">
            <w:pPr>
              <w:spacing w:after="0"/>
              <w:ind w:left="3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Projectleider (onderzoek)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F74" w14:textId="77777777" w:rsidR="00D8097F" w:rsidRPr="00B05347" w:rsidRDefault="00B0534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Thom </w:t>
            </w:r>
            <w:proofErr w:type="spellStart"/>
            <w:r w:rsidRPr="00B05347">
              <w:rPr>
                <w:rFonts w:ascii="Verdana" w:eastAsia="Verdana" w:hAnsi="Verdana" w:cs="Verdana"/>
                <w:sz w:val="20"/>
                <w:szCs w:val="20"/>
              </w:rPr>
              <w:t>Achterbosch</w:t>
            </w:r>
            <w:proofErr w:type="spellEnd"/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8097F" w:rsidRPr="00B05347" w14:paraId="625C53D1" w14:textId="77777777">
        <w:trPr>
          <w:trHeight w:val="22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48B" w14:textId="77777777" w:rsidR="00D8097F" w:rsidRPr="00B05347" w:rsidRDefault="00B05347">
            <w:pPr>
              <w:spacing w:after="0"/>
              <w:ind w:left="3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Werkelijke startdatum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27BE" w14:textId="77777777" w:rsidR="00D8097F" w:rsidRPr="00B05347" w:rsidRDefault="00B0534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01/04/2015 </w:t>
            </w:r>
          </w:p>
        </w:tc>
      </w:tr>
      <w:tr w:rsidR="00D8097F" w:rsidRPr="00B05347" w14:paraId="20996A71" w14:textId="77777777">
        <w:trPr>
          <w:trHeight w:val="22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658A" w14:textId="77777777" w:rsidR="00D8097F" w:rsidRPr="00B05347" w:rsidRDefault="00B05347">
            <w:pPr>
              <w:spacing w:after="0"/>
              <w:ind w:left="3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Werkelijke einddatum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0A71" w14:textId="77777777" w:rsidR="00D8097F" w:rsidRPr="00B05347" w:rsidRDefault="00B0534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01/03/2019 </w:t>
            </w:r>
          </w:p>
        </w:tc>
      </w:tr>
      <w:tr w:rsidR="00D8097F" w:rsidRPr="00B05347" w14:paraId="7E51429F" w14:textId="77777777">
        <w:trPr>
          <w:trHeight w:val="13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3F47" w14:textId="77777777" w:rsidR="00D8097F" w:rsidRPr="00B05347" w:rsidRDefault="00B05347" w:rsidP="009436B0">
            <w:pPr>
              <w:spacing w:after="0"/>
              <w:ind w:left="3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>Korte omschrijving inhoud</w:t>
            </w: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528B" w14:textId="77777777" w:rsidR="00D8097F" w:rsidRPr="00B05347" w:rsidRDefault="00B05347">
            <w:pPr>
              <w:spacing w:after="0"/>
              <w:ind w:right="10"/>
              <w:rPr>
                <w:rFonts w:ascii="Verdana" w:eastAsia="Verdana" w:hAnsi="Verdana" w:cs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Werken aan “EU voedselsystemen voor gezondheid, milieu en onderneming”.  </w:t>
            </w: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SUSFANS wil door middel van  toonaangevende wetenschappelijke resultaten het voedselsysteem binnen de Europese Unie verbeteren en  duurzaam maken. Kortom: duurzame voedselzekerheid (FNS) in de EU. </w:t>
            </w:r>
          </w:p>
          <w:p w14:paraId="0AD090D7" w14:textId="77777777" w:rsidR="009436B0" w:rsidRPr="00B05347" w:rsidRDefault="009436B0">
            <w:pPr>
              <w:spacing w:after="0"/>
              <w:ind w:right="1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75C8A6" w14:textId="77777777" w:rsidR="00D8097F" w:rsidRPr="00B05347" w:rsidRDefault="00B05347">
      <w:pPr>
        <w:spacing w:after="0"/>
        <w:rPr>
          <w:rFonts w:ascii="Verdana" w:hAnsi="Verdana"/>
          <w:sz w:val="20"/>
          <w:szCs w:val="20"/>
        </w:rPr>
      </w:pPr>
      <w:r w:rsidRPr="00B0534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79F3795" w14:textId="77777777" w:rsidR="00D8097F" w:rsidRPr="00B05347" w:rsidRDefault="00B05347">
      <w:pPr>
        <w:spacing w:after="0"/>
        <w:rPr>
          <w:rFonts w:ascii="Verdana" w:hAnsi="Verdana"/>
          <w:sz w:val="20"/>
          <w:szCs w:val="20"/>
        </w:rPr>
      </w:pPr>
      <w:r w:rsidRPr="00B05347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B0534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0" w:type="dxa"/>
          <w:left w:w="108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9213"/>
      </w:tblGrid>
      <w:tr w:rsidR="00D8097F" w:rsidRPr="00B05347" w14:paraId="13CDFB08" w14:textId="77777777" w:rsidTr="009436B0">
        <w:trPr>
          <w:trHeight w:val="22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4093" w14:textId="77777777" w:rsidR="00D8097F" w:rsidRPr="00B05347" w:rsidRDefault="009436B0" w:rsidP="009436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05347">
              <w:rPr>
                <w:rFonts w:ascii="Verdana" w:eastAsia="Verdana" w:hAnsi="Verdana" w:cs="Verdana"/>
                <w:b/>
                <w:sz w:val="20"/>
                <w:szCs w:val="20"/>
              </w:rPr>
              <w:t>Highlights</w:t>
            </w:r>
            <w:proofErr w:type="spellEnd"/>
          </w:p>
        </w:tc>
      </w:tr>
      <w:tr w:rsidR="00D8097F" w:rsidRPr="00B05347" w14:paraId="0FD8B867" w14:textId="77777777">
        <w:trPr>
          <w:trHeight w:val="217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1B26" w14:textId="77777777" w:rsidR="00D8097F" w:rsidRPr="00B05347" w:rsidRDefault="00B05347">
            <w:pPr>
              <w:spacing w:after="0" w:line="241" w:lineRule="auto"/>
              <w:ind w:right="2019"/>
              <w:jc w:val="both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Het wetenschappelijke perspectief van het </w:t>
            </w:r>
            <w:r w:rsidRPr="00B05347">
              <w:rPr>
                <w:rFonts w:ascii="Verdana" w:eastAsia="Verdana" w:hAnsi="Verdana" w:cs="Verdana"/>
                <w:sz w:val="20"/>
                <w:szCs w:val="20"/>
              </w:rPr>
              <w:t>SUSFANS project is gepresenteerd op conferenties en is vastgelegd in het peer-</w:t>
            </w:r>
            <w:proofErr w:type="spellStart"/>
            <w:r w:rsidRPr="00B05347">
              <w:rPr>
                <w:rFonts w:ascii="Verdana" w:eastAsia="Verdana" w:hAnsi="Verdana" w:cs="Verdana"/>
                <w:sz w:val="20"/>
                <w:szCs w:val="20"/>
              </w:rPr>
              <w:t>reviewed</w:t>
            </w:r>
            <w:proofErr w:type="spellEnd"/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 wetenschappelijke tijdschrift: </w:t>
            </w:r>
          </w:p>
          <w:p w14:paraId="64327850" w14:textId="77777777" w:rsidR="00D8097F" w:rsidRPr="00B05347" w:rsidRDefault="00B0534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F3E8A66" w14:textId="77777777" w:rsidR="00D8097F" w:rsidRPr="00B05347" w:rsidRDefault="00B05347">
            <w:pPr>
              <w:spacing w:after="0" w:line="242" w:lineRule="auto"/>
              <w:ind w:left="873" w:right="1156" w:hanging="590"/>
              <w:rPr>
                <w:rFonts w:ascii="Verdana" w:hAnsi="Verdana"/>
                <w:sz w:val="20"/>
                <w:szCs w:val="20"/>
                <w:lang w:val="en-GB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“Metrics, models and foresight for European sustainable food and nutrition security: the vision of the SUSFANS project” </w:t>
            </w:r>
          </w:p>
          <w:p w14:paraId="1D505621" w14:textId="77777777" w:rsidR="00D8097F" w:rsidRPr="00B05347" w:rsidRDefault="00B05347">
            <w:pPr>
              <w:spacing w:after="0" w:line="240" w:lineRule="auto"/>
              <w:ind w:left="1418" w:hanging="319"/>
              <w:rPr>
                <w:rFonts w:ascii="Verdana" w:hAnsi="Verdana"/>
                <w:sz w:val="20"/>
                <w:szCs w:val="20"/>
                <w:lang w:val="en-GB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Martine Rutten et al., </w:t>
            </w:r>
            <w:r w:rsidRPr="00B05347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Agricultural Systems, 2016</w:t>
            </w:r>
            <w:r w:rsidRPr="00B05347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hyperlink r:id="rId9">
              <w:r w:rsidRPr="00B05347">
                <w:rPr>
                  <w:rFonts w:ascii="Verdana" w:eastAsia="Verdana" w:hAnsi="Verdana" w:cs="Verdana"/>
                  <w:i/>
                  <w:color w:val="0000FF"/>
                  <w:sz w:val="20"/>
                  <w:szCs w:val="20"/>
                  <w:u w:val="single" w:color="0000FF"/>
                  <w:lang w:val="en-GB"/>
                </w:rPr>
                <w:t>http://dx.doi.org/10.1016/j.agsy.2016.10.014</w:t>
              </w:r>
            </w:hyperlink>
            <w:hyperlink r:id="rId10">
              <w:r w:rsidRPr="00B05347">
                <w:rPr>
                  <w:rFonts w:ascii="Verdana" w:eastAsia="Verdana" w:hAnsi="Verdana" w:cs="Verdana"/>
                  <w:i/>
                  <w:color w:val="0000FF"/>
                  <w:sz w:val="20"/>
                  <w:szCs w:val="20"/>
                  <w:lang w:val="en-GB"/>
                </w:rPr>
                <w:t xml:space="preserve"> </w:t>
              </w:r>
            </w:hyperlink>
          </w:p>
          <w:p w14:paraId="2E04F932" w14:textId="77777777" w:rsidR="00D8097F" w:rsidRPr="00B05347" w:rsidRDefault="00B05347">
            <w:pPr>
              <w:spacing w:after="0"/>
              <w:ind w:left="105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B05347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826F49A" w14:textId="77777777" w:rsidR="00D8097F" w:rsidRPr="00B05347" w:rsidRDefault="00B05347">
      <w:pPr>
        <w:spacing w:after="0"/>
        <w:ind w:left="360"/>
        <w:rPr>
          <w:rFonts w:ascii="Verdana" w:hAnsi="Verdana"/>
          <w:sz w:val="20"/>
          <w:szCs w:val="20"/>
        </w:rPr>
      </w:pPr>
      <w:r w:rsidRPr="00B05347">
        <w:rPr>
          <w:rFonts w:ascii="Verdana" w:eastAsia="Verdana" w:hAnsi="Verdana" w:cs="Verdana"/>
          <w:sz w:val="20"/>
          <w:szCs w:val="20"/>
        </w:rPr>
        <w:t xml:space="preserve"> </w:t>
      </w:r>
    </w:p>
    <w:p w14:paraId="59827FBA" w14:textId="77777777" w:rsidR="00D8097F" w:rsidRPr="00B05347" w:rsidRDefault="00B05347">
      <w:pPr>
        <w:spacing w:after="0"/>
        <w:rPr>
          <w:rFonts w:ascii="Verdana" w:hAnsi="Verdana"/>
          <w:sz w:val="20"/>
          <w:szCs w:val="20"/>
        </w:rPr>
      </w:pPr>
      <w:r w:rsidRPr="00B05347">
        <w:rPr>
          <w:rFonts w:ascii="Verdana" w:eastAsia="Verdana" w:hAnsi="Verdana" w:cs="Verdana"/>
          <w:sz w:val="20"/>
          <w:szCs w:val="20"/>
        </w:rPr>
        <w:t xml:space="preserve"> </w:t>
      </w:r>
      <w:r w:rsidRPr="00B05347">
        <w:rPr>
          <w:rFonts w:ascii="Verdana" w:eastAsia="Verdana" w:hAnsi="Verdana" w:cs="Verdana"/>
          <w:sz w:val="20"/>
          <w:szCs w:val="20"/>
        </w:rPr>
        <w:tab/>
        <w:t xml:space="preserve"> </w:t>
      </w:r>
    </w:p>
    <w:tbl>
      <w:tblPr>
        <w:tblStyle w:val="TableGrid"/>
        <w:tblW w:w="9209" w:type="dxa"/>
        <w:tblInd w:w="-142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04"/>
        <w:gridCol w:w="1821"/>
        <w:gridCol w:w="2366"/>
        <w:gridCol w:w="2918"/>
      </w:tblGrid>
      <w:tr w:rsidR="00D8097F" w:rsidRPr="00B05347" w14:paraId="64A7B90A" w14:textId="77777777" w:rsidTr="009436B0">
        <w:trPr>
          <w:trHeight w:val="113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DCDB" w14:textId="77777777" w:rsidR="00D8097F" w:rsidRPr="00B05347" w:rsidRDefault="00B0534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b/>
                <w:sz w:val="20"/>
                <w:szCs w:val="20"/>
              </w:rPr>
              <w:t>Aantal opgeleverde producten in 2016</w:t>
            </w: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436B0" w:rsidRPr="00B05347" w14:paraId="68643F4B" w14:textId="77777777" w:rsidTr="009436B0">
        <w:trPr>
          <w:trHeight w:val="6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9BAA" w14:textId="77777777" w:rsidR="009436B0" w:rsidRPr="00B05347" w:rsidRDefault="009436B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Wetenschappelijke artikelen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2DD" w14:textId="77777777" w:rsidR="009436B0" w:rsidRPr="00B05347" w:rsidRDefault="009436B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Rapporten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BA3" w14:textId="77777777" w:rsidR="009436B0" w:rsidRPr="00B05347" w:rsidRDefault="009436B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Artikelen in vakbladen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AFBB" w14:textId="77777777" w:rsidR="009436B0" w:rsidRPr="00B05347" w:rsidRDefault="009436B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Inleidingen/ workshops/ </w:t>
            </w:r>
            <w:proofErr w:type="spellStart"/>
            <w:r w:rsidRPr="00B05347">
              <w:rPr>
                <w:rFonts w:ascii="Verdana" w:eastAsia="Verdana" w:hAnsi="Verdana" w:cs="Verdana"/>
                <w:sz w:val="20"/>
                <w:szCs w:val="20"/>
              </w:rPr>
              <w:t>invited</w:t>
            </w:r>
            <w:proofErr w:type="spellEnd"/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05347">
              <w:rPr>
                <w:rFonts w:ascii="Verdana" w:eastAsia="Verdana" w:hAnsi="Verdana" w:cs="Verdana"/>
                <w:sz w:val="20"/>
                <w:szCs w:val="20"/>
              </w:rPr>
              <w:t>lectures</w:t>
            </w:r>
            <w:proofErr w:type="spellEnd"/>
            <w:r w:rsidRPr="00B053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436B0" w:rsidRPr="00B05347" w14:paraId="44CA1196" w14:textId="77777777" w:rsidTr="009436B0">
        <w:trPr>
          <w:trHeight w:val="2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072" w14:textId="77777777" w:rsidR="009436B0" w:rsidRPr="00B05347" w:rsidRDefault="009436B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AD74" w14:textId="77777777" w:rsidR="009436B0" w:rsidRPr="00B05347" w:rsidRDefault="009436B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E2A" w14:textId="77777777" w:rsidR="009436B0" w:rsidRPr="00B05347" w:rsidRDefault="009436B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B5D9" w14:textId="77777777" w:rsidR="009436B0" w:rsidRPr="00B05347" w:rsidRDefault="009436B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05347"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</w:tr>
    </w:tbl>
    <w:p w14:paraId="17117379" w14:textId="77777777" w:rsidR="00D8097F" w:rsidRPr="00B05347" w:rsidRDefault="00B05347">
      <w:pPr>
        <w:spacing w:after="0"/>
        <w:rPr>
          <w:rFonts w:ascii="Verdana" w:hAnsi="Verdana"/>
          <w:sz w:val="20"/>
          <w:szCs w:val="20"/>
        </w:rPr>
      </w:pPr>
      <w:r w:rsidRPr="00B05347">
        <w:rPr>
          <w:rFonts w:ascii="Verdana" w:eastAsia="Verdana" w:hAnsi="Verdana" w:cs="Verdana"/>
          <w:sz w:val="20"/>
          <w:szCs w:val="20"/>
        </w:rPr>
        <w:t xml:space="preserve"> </w:t>
      </w:r>
    </w:p>
    <w:p w14:paraId="1387A37B" w14:textId="77777777" w:rsidR="00D8097F" w:rsidRPr="00B05347" w:rsidRDefault="00D8097F">
      <w:pPr>
        <w:spacing w:after="0"/>
        <w:rPr>
          <w:rFonts w:ascii="Verdana" w:hAnsi="Verdana"/>
          <w:sz w:val="20"/>
          <w:szCs w:val="20"/>
        </w:rPr>
      </w:pPr>
    </w:p>
    <w:p w14:paraId="559753D7" w14:textId="77777777" w:rsidR="00B05347" w:rsidRDefault="00B05347" w:rsidP="009436B0">
      <w:pPr>
        <w:spacing w:after="25" w:line="239" w:lineRule="auto"/>
        <w:rPr>
          <w:rFonts w:ascii="Verdana" w:eastAsia="Verdana" w:hAnsi="Verdana" w:cs="Verdana"/>
          <w:b/>
          <w:sz w:val="20"/>
          <w:szCs w:val="20"/>
        </w:rPr>
      </w:pPr>
    </w:p>
    <w:p w14:paraId="297834C0" w14:textId="77777777" w:rsidR="009436B0" w:rsidRDefault="00B05347" w:rsidP="009436B0">
      <w:pPr>
        <w:spacing w:after="25" w:line="239" w:lineRule="auto"/>
        <w:rPr>
          <w:rFonts w:ascii="Verdana" w:eastAsia="Verdana" w:hAnsi="Verdana" w:cs="Verdana"/>
          <w:b/>
          <w:sz w:val="20"/>
          <w:szCs w:val="20"/>
        </w:rPr>
      </w:pPr>
      <w:r w:rsidRPr="00B05347">
        <w:rPr>
          <w:rFonts w:ascii="Verdana" w:eastAsia="Verdana" w:hAnsi="Verdana" w:cs="Verdana"/>
          <w:b/>
          <w:sz w:val="20"/>
          <w:szCs w:val="20"/>
        </w:rPr>
        <w:t xml:space="preserve">Bijlage: Titels van de producten of een link naar de producten op een openbare website  </w:t>
      </w:r>
    </w:p>
    <w:p w14:paraId="038C74D5" w14:textId="77777777" w:rsidR="00B05347" w:rsidRPr="00B05347" w:rsidRDefault="00B05347" w:rsidP="009436B0">
      <w:pPr>
        <w:spacing w:after="25" w:line="239" w:lineRule="auto"/>
        <w:rPr>
          <w:rFonts w:ascii="Verdana" w:eastAsia="Verdana" w:hAnsi="Verdana" w:cs="Verdana"/>
          <w:b/>
          <w:sz w:val="20"/>
          <w:szCs w:val="20"/>
        </w:rPr>
      </w:pPr>
    </w:p>
    <w:p w14:paraId="3E6AC301" w14:textId="77777777" w:rsidR="009436B0" w:rsidRPr="00B05347" w:rsidRDefault="009436B0" w:rsidP="009436B0">
      <w:pPr>
        <w:spacing w:after="25" w:line="239" w:lineRule="auto"/>
        <w:rPr>
          <w:rFonts w:ascii="Verdana" w:eastAsia="Verdana" w:hAnsi="Verdana" w:cs="Verdana"/>
          <w:sz w:val="20"/>
          <w:szCs w:val="20"/>
          <w:u w:val="single"/>
        </w:rPr>
      </w:pPr>
      <w:r w:rsidRPr="00B05347">
        <w:rPr>
          <w:rFonts w:ascii="Verdana" w:eastAsia="Verdana" w:hAnsi="Verdana" w:cs="Verdana"/>
          <w:sz w:val="20"/>
          <w:szCs w:val="20"/>
          <w:u w:val="single"/>
        </w:rPr>
        <w:t>Wetenschappelijke artikelen</w:t>
      </w:r>
    </w:p>
    <w:p w14:paraId="20C7DCF9" w14:textId="77777777" w:rsidR="009436B0" w:rsidRPr="00B05347" w:rsidRDefault="009436B0" w:rsidP="009436B0">
      <w:pPr>
        <w:pStyle w:val="Lijstalinea"/>
        <w:numPr>
          <w:ilvl w:val="0"/>
          <w:numId w:val="2"/>
        </w:numPr>
        <w:spacing w:after="25" w:line="240" w:lineRule="auto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Article</w:t>
      </w:r>
      <w:r w:rsidRPr="00B05347">
        <w:rPr>
          <w:rFonts w:ascii="Verdana" w:hAnsi="Verdana"/>
          <w:sz w:val="20"/>
          <w:szCs w:val="20"/>
          <w:lang w:val="en-GB"/>
        </w:rPr>
        <w:t xml:space="preserve">: 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Value Chains and Technology Transfer to Agriculture in Developing and Emerging Economies</w:t>
      </w:r>
      <w:r w:rsidRPr="00B05347">
        <w:rPr>
          <w:rFonts w:ascii="Verdana" w:hAnsi="Verdana"/>
          <w:i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Kuijpers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R. and J.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Swinnen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. </w:t>
      </w:r>
      <w:r w:rsidRPr="00B05347">
        <w:rPr>
          <w:rFonts w:ascii="Verdana" w:hAnsi="Verdana"/>
          <w:sz w:val="20"/>
          <w:szCs w:val="20"/>
          <w:lang w:val="en-GB"/>
        </w:rPr>
        <w:t xml:space="preserve"> American Journal of Agricultural Economics</w:t>
      </w:r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r w:rsidRPr="00B05347">
        <w:rPr>
          <w:rFonts w:ascii="Verdana" w:hAnsi="Verdana"/>
          <w:sz w:val="20"/>
          <w:szCs w:val="20"/>
          <w:lang w:val="en-GB"/>
        </w:rPr>
        <w:t xml:space="preserve"> 2016 </w:t>
      </w:r>
    </w:p>
    <w:p w14:paraId="2E750D9B" w14:textId="77777777" w:rsidR="009436B0" w:rsidRPr="00B05347" w:rsidRDefault="009436B0" w:rsidP="009436B0">
      <w:pPr>
        <w:pStyle w:val="Lijstalinea"/>
        <w:numPr>
          <w:ilvl w:val="0"/>
          <w:numId w:val="2"/>
        </w:numPr>
        <w:spacing w:after="25" w:line="240" w:lineRule="auto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Article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Operationalising the health aspects of sustainable diets: a review</w:t>
      </w:r>
      <w:r w:rsidRPr="00B05347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Mertens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van ’t Veer,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Hiddink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Steijns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Kuijsten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Public Health Nutrition</w:t>
      </w:r>
      <w:r w:rsidRPr="00B05347">
        <w:rPr>
          <w:rFonts w:ascii="Verdana" w:hAnsi="Verdana"/>
          <w:sz w:val="20"/>
          <w:szCs w:val="20"/>
          <w:lang w:val="en-GB"/>
        </w:rPr>
        <w:t xml:space="preserve">, 2016 </w:t>
      </w:r>
    </w:p>
    <w:p w14:paraId="5B97C248" w14:textId="77777777" w:rsidR="009436B0" w:rsidRPr="00B05347" w:rsidRDefault="009436B0" w:rsidP="009436B0">
      <w:pPr>
        <w:pStyle w:val="Lijstalinea"/>
        <w:numPr>
          <w:ilvl w:val="0"/>
          <w:numId w:val="2"/>
        </w:numPr>
        <w:spacing w:after="25" w:line="240" w:lineRule="auto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Article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An Economic Tool for Tracing the Origins of Nutrients with Entry Points for Action</w:t>
      </w:r>
      <w:r w:rsidRPr="00B05347">
        <w:rPr>
          <w:rFonts w:ascii="Verdana" w:hAnsi="Verdana"/>
          <w:i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Rutten, M., A.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Tabeau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and F.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Godeschalk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Under journal revision</w:t>
      </w:r>
      <w:r w:rsidRPr="00B05347">
        <w:rPr>
          <w:rFonts w:ascii="Verdana" w:hAnsi="Verdana"/>
          <w:sz w:val="20"/>
          <w:szCs w:val="20"/>
          <w:lang w:val="en-GB"/>
        </w:rPr>
        <w:t>,</w:t>
      </w:r>
      <w:r w:rsidRPr="00B05347">
        <w:rPr>
          <w:rFonts w:ascii="Verdana" w:hAnsi="Verdana"/>
          <w:sz w:val="20"/>
          <w:szCs w:val="20"/>
          <w:lang w:val="en-GB"/>
        </w:rPr>
        <w:t xml:space="preserve"> 2016 </w:t>
      </w:r>
    </w:p>
    <w:p w14:paraId="68052F3A" w14:textId="77777777" w:rsidR="009436B0" w:rsidRPr="00B05347" w:rsidRDefault="009436B0" w:rsidP="009436B0">
      <w:pPr>
        <w:pStyle w:val="Lijstalinea"/>
        <w:numPr>
          <w:ilvl w:val="0"/>
          <w:numId w:val="2"/>
        </w:numPr>
        <w:spacing w:after="25" w:line="240" w:lineRule="auto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Paper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Metrics, models and foresight for European sustainable food and nutrition security: the vision of the SUSFANS project</w:t>
      </w:r>
      <w:r w:rsidRPr="00B05347">
        <w:rPr>
          <w:rFonts w:ascii="Verdana" w:hAnsi="Verdana"/>
          <w:i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hyperlink r:id="rId11" w:history="1">
        <w:r w:rsidR="00B05347" w:rsidRPr="00EC5BF8">
          <w:rPr>
            <w:rStyle w:val="Hyperlink"/>
            <w:rFonts w:ascii="Verdana" w:hAnsi="Verdana"/>
            <w:sz w:val="20"/>
            <w:szCs w:val="20"/>
            <w:lang w:val="en-GB"/>
          </w:rPr>
          <w:t>http://dx.doi.org/10.1016/j.agsy.2016.10.014</w:t>
        </w:r>
      </w:hyperlink>
      <w:r w:rsidR="00B05347">
        <w:rPr>
          <w:rFonts w:ascii="Verdana" w:hAnsi="Verdana"/>
          <w:sz w:val="20"/>
          <w:szCs w:val="20"/>
          <w:lang w:val="en-GB"/>
        </w:rPr>
        <w:t xml:space="preserve">. </w:t>
      </w:r>
      <w:r w:rsidRPr="00B05347">
        <w:rPr>
          <w:rFonts w:ascii="Verdana" w:hAnsi="Verdana"/>
          <w:sz w:val="20"/>
          <w:szCs w:val="20"/>
          <w:lang w:val="en-GB"/>
        </w:rPr>
        <w:t xml:space="preserve">Martine Rutten, Thom J.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Achterbosch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Imke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J.M. de Boer, Jesus Crespo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Cuaresma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Johanna M.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Geleijnse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Petr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Havlík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Thomas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Heckelei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John Ingram, Adrian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Leip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Stéphan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Marette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Hans van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Meijl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Louis-Georges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Soler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Johan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Swinnen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Pieter van ’t Veer,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Joost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Vervoort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>, Andrea Zimmermann, Karin L. Zimmermann, Monika Zurek</w:t>
      </w:r>
      <w:r w:rsidRPr="00B05347">
        <w:rPr>
          <w:rFonts w:ascii="Verdana" w:hAnsi="Verdana"/>
          <w:sz w:val="20"/>
          <w:szCs w:val="20"/>
          <w:lang w:val="en-GB"/>
        </w:rPr>
        <w:t xml:space="preserve">. </w:t>
      </w:r>
      <w:r w:rsidRPr="00B05347">
        <w:rPr>
          <w:rFonts w:ascii="Verdana" w:hAnsi="Verdana"/>
          <w:sz w:val="20"/>
          <w:szCs w:val="20"/>
          <w:lang w:val="en-GB"/>
        </w:rPr>
        <w:t>Agricultural Systems</w:t>
      </w:r>
      <w:r w:rsidRPr="00B05347">
        <w:rPr>
          <w:rFonts w:ascii="Verdana" w:hAnsi="Verdana"/>
          <w:sz w:val="20"/>
          <w:szCs w:val="20"/>
          <w:lang w:val="en-GB"/>
        </w:rPr>
        <w:t>,</w:t>
      </w:r>
      <w:r w:rsidRPr="00B05347">
        <w:rPr>
          <w:rFonts w:ascii="Verdana" w:hAnsi="Verdana"/>
          <w:sz w:val="20"/>
          <w:szCs w:val="20"/>
          <w:lang w:val="en-GB"/>
        </w:rPr>
        <w:t xml:space="preserve"> 2016</w:t>
      </w:r>
    </w:p>
    <w:p w14:paraId="29F1B391" w14:textId="77777777" w:rsidR="00D8097F" w:rsidRPr="00B05347" w:rsidRDefault="00D8097F" w:rsidP="009436B0">
      <w:pPr>
        <w:spacing w:after="1"/>
        <w:ind w:left="180"/>
        <w:rPr>
          <w:rFonts w:ascii="Verdana" w:hAnsi="Verdana"/>
          <w:sz w:val="20"/>
          <w:szCs w:val="20"/>
          <w:lang w:val="en-GB"/>
        </w:rPr>
      </w:pPr>
    </w:p>
    <w:p w14:paraId="38827FF1" w14:textId="77777777" w:rsidR="009436B0" w:rsidRPr="00B05347" w:rsidRDefault="00563378" w:rsidP="00563378">
      <w:pPr>
        <w:spacing w:after="1"/>
        <w:ind w:left="180"/>
        <w:rPr>
          <w:rFonts w:ascii="Verdana" w:hAnsi="Verdana"/>
          <w:sz w:val="20"/>
          <w:szCs w:val="20"/>
          <w:u w:val="single"/>
          <w:lang w:val="en-GB"/>
        </w:rPr>
      </w:pPr>
      <w:proofErr w:type="spellStart"/>
      <w:r w:rsidRPr="00B05347">
        <w:rPr>
          <w:rFonts w:ascii="Verdana" w:hAnsi="Verdana"/>
          <w:sz w:val="20"/>
          <w:szCs w:val="20"/>
          <w:u w:val="single"/>
          <w:lang w:val="en-GB"/>
        </w:rPr>
        <w:t>Rapporten</w:t>
      </w:r>
      <w:proofErr w:type="spellEnd"/>
    </w:p>
    <w:p w14:paraId="01731839" w14:textId="77777777" w:rsidR="00563378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i/>
          <w:sz w:val="20"/>
          <w:szCs w:val="20"/>
          <w:lang w:val="en-GB"/>
        </w:rPr>
        <w:t xml:space="preserve"> A Framework for Assessing and Devising Policy for Sustainable Food and Nutrition Security in EU: The SUSFANS conceptual framework.</w:t>
      </w:r>
      <w:r w:rsidRPr="00B05347">
        <w:rPr>
          <w:rFonts w:ascii="Verdana" w:hAnsi="Verdana"/>
          <w:sz w:val="20"/>
          <w:szCs w:val="20"/>
          <w:lang w:val="en-GB"/>
        </w:rPr>
        <w:t xml:space="preserve"> Monika Zurek, John Ingram, Andrea Zimmermann, Maria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Garrone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Martine Rutten, Inge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Tetens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Adrian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Leip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Pieter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van’t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Veer, Muriel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Verain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Emily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Bouwman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Stephan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Marette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Chiaoya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Chang, Catharina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Latka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Sara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Hornborg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Friederike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Seville Ziegler,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Joost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Vervoort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Thom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Achterbosch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Ida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Terluin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Petr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Havlik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Andre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Deppermann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. </w:t>
      </w:r>
      <w:hyperlink r:id="rId12" w:history="1">
        <w:r w:rsidRPr="00B05347">
          <w:rPr>
            <w:rStyle w:val="Hyperlink"/>
            <w:rFonts w:ascii="Verdana" w:hAnsi="Verdana"/>
            <w:sz w:val="20"/>
            <w:szCs w:val="20"/>
            <w:lang w:val="en-GB"/>
          </w:rPr>
          <w:t>http://susfans.eu/portfolio/framework-assessing-and-devising-policy-sustainable-food-and-nutrition-security-eu-susfans</w:t>
        </w:r>
      </w:hyperlink>
      <w:r w:rsidRPr="00B05347">
        <w:rPr>
          <w:rFonts w:ascii="Verdana" w:hAnsi="Verdana"/>
          <w:sz w:val="20"/>
          <w:szCs w:val="20"/>
          <w:lang w:val="en-GB"/>
        </w:rPr>
        <w:t xml:space="preserve"> </w:t>
      </w:r>
    </w:p>
    <w:p w14:paraId="3774E3C0" w14:textId="77777777" w:rsidR="00563378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Confidential Report: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Metrics to assess Sustainable Food and Nutrition Security of the EU Food System: A progress report.</w:t>
      </w:r>
      <w:r w:rsidRPr="00B05347">
        <w:rPr>
          <w:rFonts w:ascii="Verdana" w:hAnsi="Verdana"/>
          <w:sz w:val="20"/>
          <w:szCs w:val="20"/>
          <w:lang w:val="en-GB"/>
        </w:rPr>
        <w:t xml:space="preserve"> Monika Zurek, John Ingram, Martine Rutten, Andrea Zimmermann, Maria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Garrone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Inge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Tetens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Adrian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Leip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Sara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Hornborg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Petr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Havlík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Thom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Achterbosch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Joost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Vervoort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Anneleen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Kuijsten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Lindsay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Shutes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Louis-George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Soler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. </w:t>
      </w:r>
    </w:p>
    <w:p w14:paraId="1A521A90" w14:textId="77777777" w:rsidR="00563378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i/>
          <w:sz w:val="20"/>
          <w:szCs w:val="20"/>
          <w:lang w:val="en-GB"/>
        </w:rPr>
        <w:t xml:space="preserve"> Analysis of the web-survey on consumers’ knowledge about nutrition, environment and the importance of relevant determinants.</w:t>
      </w:r>
      <w:r w:rsidRPr="00B05347">
        <w:rPr>
          <w:rFonts w:ascii="Verdana" w:hAnsi="Verdana"/>
          <w:sz w:val="20"/>
          <w:szCs w:val="20"/>
          <w:lang w:val="en-GB"/>
        </w:rPr>
        <w:t xml:space="preserve"> Emily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Bouwman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Muriel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Verain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Harriëtte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Snoek. </w:t>
      </w:r>
      <w:hyperlink r:id="rId13" w:history="1">
        <w:r w:rsidRPr="00B05347">
          <w:rPr>
            <w:rStyle w:val="Hyperlink"/>
            <w:rFonts w:ascii="Verdana" w:hAnsi="Verdana"/>
            <w:sz w:val="20"/>
            <w:szCs w:val="20"/>
            <w:lang w:val="en-GB"/>
          </w:rPr>
          <w:t>http://susfans.eu/portfolio/deliverable-21-consumers%E2%80%99-knowledge-about-determinants-fo-sustainable-diet</w:t>
        </w:r>
      </w:hyperlink>
      <w:r w:rsidRPr="00B05347">
        <w:rPr>
          <w:rFonts w:ascii="Verdana" w:hAnsi="Verdana"/>
          <w:sz w:val="20"/>
          <w:szCs w:val="20"/>
          <w:lang w:val="en-GB"/>
        </w:rPr>
        <w:t xml:space="preserve"> </w:t>
      </w:r>
    </w:p>
    <w:p w14:paraId="5AD1D523" w14:textId="77777777" w:rsidR="00B05347" w:rsidRDefault="00563378" w:rsidP="00B05347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i/>
          <w:sz w:val="20"/>
          <w:szCs w:val="20"/>
          <w:lang w:val="en-GB"/>
        </w:rPr>
        <w:t xml:space="preserve"> Protocol for defining the nutritional adequacy of total diets and foods consumed in EU countries.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sz w:val="20"/>
          <w:szCs w:val="20"/>
        </w:rPr>
        <w:t xml:space="preserve">Elly Mertens, Anneleen Kuijsten, Marianne </w:t>
      </w:r>
      <w:proofErr w:type="spellStart"/>
      <w:r w:rsidRPr="00B05347">
        <w:rPr>
          <w:rFonts w:ascii="Verdana" w:hAnsi="Verdana"/>
          <w:sz w:val="20"/>
          <w:szCs w:val="20"/>
        </w:rPr>
        <w:t>Geleijnse</w:t>
      </w:r>
      <w:proofErr w:type="spellEnd"/>
      <w:r w:rsidRPr="00B05347">
        <w:rPr>
          <w:rFonts w:ascii="Verdana" w:hAnsi="Verdana"/>
          <w:sz w:val="20"/>
          <w:szCs w:val="20"/>
        </w:rPr>
        <w:t xml:space="preserve">, Pieter van ’t Veer, Ellen </w:t>
      </w:r>
      <w:proofErr w:type="spellStart"/>
      <w:r w:rsidRPr="00B05347">
        <w:rPr>
          <w:rFonts w:ascii="Verdana" w:hAnsi="Verdana"/>
          <w:sz w:val="20"/>
          <w:szCs w:val="20"/>
        </w:rPr>
        <w:t>Trolle</w:t>
      </w:r>
      <w:proofErr w:type="spellEnd"/>
      <w:r w:rsidRPr="00B05347">
        <w:rPr>
          <w:rFonts w:ascii="Verdana" w:hAnsi="Verdana"/>
          <w:sz w:val="20"/>
          <w:szCs w:val="20"/>
        </w:rPr>
        <w:t xml:space="preserve">, Inge </w:t>
      </w:r>
      <w:proofErr w:type="spellStart"/>
      <w:r w:rsidRPr="00B05347">
        <w:rPr>
          <w:rFonts w:ascii="Verdana" w:hAnsi="Verdana"/>
          <w:sz w:val="20"/>
          <w:szCs w:val="20"/>
        </w:rPr>
        <w:t>Tetens</w:t>
      </w:r>
      <w:proofErr w:type="spellEnd"/>
      <w:r w:rsidRPr="00B05347">
        <w:rPr>
          <w:rFonts w:ascii="Verdana" w:hAnsi="Verdana"/>
          <w:sz w:val="20"/>
          <w:szCs w:val="20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</w:rPr>
        <w:t>Marcela</w:t>
      </w:r>
      <w:proofErr w:type="spellEnd"/>
      <w:r w:rsidRPr="00B05347">
        <w:rPr>
          <w:rFonts w:ascii="Verdana" w:hAnsi="Verdana"/>
          <w:sz w:val="20"/>
          <w:szCs w:val="20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</w:rPr>
        <w:t>Dofková</w:t>
      </w:r>
      <w:proofErr w:type="spellEnd"/>
      <w:r w:rsidRPr="00B05347">
        <w:rPr>
          <w:rFonts w:ascii="Verdana" w:hAnsi="Verdana"/>
          <w:sz w:val="20"/>
          <w:szCs w:val="20"/>
        </w:rPr>
        <w:t xml:space="preserve"> , </w:t>
      </w:r>
      <w:proofErr w:type="spellStart"/>
      <w:r w:rsidRPr="00B05347">
        <w:rPr>
          <w:rFonts w:ascii="Verdana" w:hAnsi="Verdana"/>
          <w:sz w:val="20"/>
          <w:szCs w:val="20"/>
        </w:rPr>
        <w:t>Lorenza</w:t>
      </w:r>
      <w:proofErr w:type="spellEnd"/>
      <w:r w:rsidRPr="00B05347">
        <w:rPr>
          <w:rFonts w:ascii="Verdana" w:hAnsi="Verdana"/>
          <w:sz w:val="20"/>
          <w:szCs w:val="20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</w:rPr>
        <w:t>Mistura</w:t>
      </w:r>
      <w:proofErr w:type="spellEnd"/>
      <w:r w:rsidRPr="00B05347">
        <w:rPr>
          <w:rFonts w:ascii="Verdana" w:hAnsi="Verdana"/>
          <w:sz w:val="20"/>
          <w:szCs w:val="20"/>
        </w:rPr>
        <w:t xml:space="preserve">, Laura </w:t>
      </w:r>
      <w:proofErr w:type="spellStart"/>
      <w:r w:rsidRPr="00B05347">
        <w:rPr>
          <w:rFonts w:ascii="Verdana" w:hAnsi="Verdana"/>
          <w:sz w:val="20"/>
          <w:szCs w:val="20"/>
        </w:rPr>
        <w:t>D’Addezio</w:t>
      </w:r>
      <w:proofErr w:type="spellEnd"/>
      <w:r w:rsidRPr="00B05347">
        <w:rPr>
          <w:rFonts w:ascii="Verdana" w:hAnsi="Verdana"/>
          <w:sz w:val="20"/>
          <w:szCs w:val="20"/>
        </w:rPr>
        <w:t xml:space="preserve">, Marika Ferrari , Carine </w:t>
      </w:r>
      <w:proofErr w:type="spellStart"/>
      <w:r w:rsidRPr="00B05347">
        <w:rPr>
          <w:rFonts w:ascii="Verdana" w:hAnsi="Verdana"/>
          <w:sz w:val="20"/>
          <w:szCs w:val="20"/>
        </w:rPr>
        <w:t>Dubuisson</w:t>
      </w:r>
      <w:proofErr w:type="spellEnd"/>
      <w:r w:rsidRPr="00B05347">
        <w:rPr>
          <w:rFonts w:ascii="Verdana" w:hAnsi="Verdana"/>
          <w:sz w:val="20"/>
          <w:szCs w:val="20"/>
        </w:rPr>
        <w:t xml:space="preserve">, Sandra </w:t>
      </w:r>
      <w:proofErr w:type="spellStart"/>
      <w:r w:rsidRPr="00B05347">
        <w:rPr>
          <w:rFonts w:ascii="Verdana" w:hAnsi="Verdana"/>
          <w:sz w:val="20"/>
          <w:szCs w:val="20"/>
        </w:rPr>
        <w:t>Favret</w:t>
      </w:r>
      <w:proofErr w:type="spellEnd"/>
      <w:r w:rsidRPr="00B05347">
        <w:rPr>
          <w:rFonts w:ascii="Verdana" w:hAnsi="Verdana"/>
          <w:sz w:val="20"/>
          <w:szCs w:val="20"/>
        </w:rPr>
        <w:t xml:space="preserve">. </w:t>
      </w:r>
      <w:hyperlink r:id="rId14" w:history="1">
        <w:r w:rsidRPr="00B05347">
          <w:rPr>
            <w:rStyle w:val="Hyperlink"/>
            <w:rFonts w:ascii="Verdana" w:hAnsi="Verdana"/>
            <w:sz w:val="20"/>
            <w:szCs w:val="20"/>
          </w:rPr>
          <w:t>http://susfans.eu/portfolio/deliverable-22-protocol-defining-nutritional-adequacy-total-diets-and-foods-consumed-eu</w:t>
        </w:r>
      </w:hyperlink>
      <w:r w:rsidRPr="00B05347">
        <w:rPr>
          <w:rFonts w:ascii="Verdana" w:hAnsi="Verdana"/>
          <w:sz w:val="20"/>
          <w:szCs w:val="20"/>
        </w:rPr>
        <w:t xml:space="preserve"> </w:t>
      </w:r>
    </w:p>
    <w:p w14:paraId="3EEA7CDA" w14:textId="77777777" w:rsidR="00563378" w:rsidRPr="00B05347" w:rsidRDefault="00563378" w:rsidP="00B05347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</w:rPr>
      </w:pPr>
      <w:bookmarkStart w:id="0" w:name="_GoBack"/>
      <w:bookmarkEnd w:id="0"/>
      <w:r w:rsidRPr="00B05347">
        <w:rPr>
          <w:rFonts w:ascii="Verdana" w:hAnsi="Verdana"/>
          <w:sz w:val="20"/>
          <w:szCs w:val="20"/>
          <w:lang w:val="en-GB"/>
        </w:rPr>
        <w:t xml:space="preserve">Confidential report: </w:t>
      </w:r>
      <w:r w:rsidRPr="00B05347">
        <w:rPr>
          <w:rFonts w:ascii="Verdana" w:hAnsi="Verdana"/>
          <w:i/>
          <w:sz w:val="20"/>
          <w:szCs w:val="20"/>
          <w:lang w:val="en-GB"/>
        </w:rPr>
        <w:t>Can Information about Health and Environment Beef Up the Demand for Meat Alternatives?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NTUStephan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Marette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(INRA) </w:t>
      </w:r>
    </w:p>
    <w:p w14:paraId="44C48891" w14:textId="77777777" w:rsidR="00563378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Confidential report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Food Standards and Sustainability – A Review and Conceptual Framework</w:t>
      </w:r>
      <w:r w:rsidRPr="00B05347">
        <w:rPr>
          <w:rFonts w:ascii="Verdana" w:hAnsi="Verdana"/>
          <w:sz w:val="20"/>
          <w:szCs w:val="20"/>
          <w:lang w:val="en-GB"/>
        </w:rPr>
        <w:t xml:space="preserve">. </w:t>
      </w:r>
      <w:r w:rsidRPr="00B05347">
        <w:rPr>
          <w:rFonts w:ascii="Verdana" w:hAnsi="Verdana"/>
          <w:sz w:val="20"/>
          <w:szCs w:val="20"/>
        </w:rPr>
        <w:t>CEPS</w:t>
      </w:r>
      <w:r w:rsidRPr="00B05347">
        <w:rPr>
          <w:rFonts w:ascii="Verdana" w:hAnsi="Verdana"/>
          <w:sz w:val="20"/>
          <w:szCs w:val="20"/>
        </w:rPr>
        <w:t>.</w:t>
      </w:r>
    </w:p>
    <w:p w14:paraId="42B8068E" w14:textId="77777777" w:rsidR="00563378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i/>
          <w:sz w:val="20"/>
          <w:szCs w:val="20"/>
          <w:lang w:val="en-GB"/>
        </w:rPr>
        <w:t xml:space="preserve"> The drivers of livestock production in the EU</w:t>
      </w:r>
      <w:r w:rsidRPr="00B05347">
        <w:rPr>
          <w:rFonts w:ascii="Verdana" w:hAnsi="Verdana"/>
          <w:sz w:val="20"/>
          <w:szCs w:val="20"/>
          <w:lang w:val="en-GB"/>
        </w:rPr>
        <w:t xml:space="preserve">. </w:t>
      </w:r>
      <w:r w:rsidRPr="00B05347">
        <w:rPr>
          <w:rFonts w:ascii="Verdana" w:hAnsi="Verdana"/>
          <w:sz w:val="20"/>
          <w:szCs w:val="20"/>
        </w:rPr>
        <w:t xml:space="preserve">Hannah van Zanten, Ollie van Hal, </w:t>
      </w:r>
      <w:proofErr w:type="spellStart"/>
      <w:r w:rsidRPr="00B05347">
        <w:rPr>
          <w:rFonts w:ascii="Verdana" w:hAnsi="Verdana"/>
          <w:sz w:val="20"/>
          <w:szCs w:val="20"/>
        </w:rPr>
        <w:t>and</w:t>
      </w:r>
      <w:proofErr w:type="spellEnd"/>
      <w:r w:rsidRPr="00B05347">
        <w:rPr>
          <w:rFonts w:ascii="Verdana" w:hAnsi="Verdana"/>
          <w:sz w:val="20"/>
          <w:szCs w:val="20"/>
        </w:rPr>
        <w:t xml:space="preserve"> Imke de Boer. </w:t>
      </w:r>
      <w:hyperlink r:id="rId15" w:history="1">
        <w:r w:rsidRPr="00B05347">
          <w:rPr>
            <w:rStyle w:val="Hyperlink"/>
            <w:rFonts w:ascii="Verdana" w:hAnsi="Verdana"/>
            <w:sz w:val="20"/>
            <w:szCs w:val="20"/>
          </w:rPr>
          <w:t>http://susfans.eu/portfolio/deliverable-41-drivers-livestock-production-eu</w:t>
        </w:r>
      </w:hyperlink>
      <w:r w:rsidRPr="00B05347">
        <w:rPr>
          <w:rFonts w:ascii="Verdana" w:hAnsi="Verdana"/>
          <w:sz w:val="20"/>
          <w:szCs w:val="20"/>
        </w:rPr>
        <w:t xml:space="preserve"> </w:t>
      </w:r>
    </w:p>
    <w:p w14:paraId="28E0544C" w14:textId="77777777" w:rsidR="00563378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Pr="00B05347">
        <w:rPr>
          <w:rFonts w:ascii="Verdana" w:hAnsi="Verdana"/>
          <w:sz w:val="20"/>
          <w:szCs w:val="20"/>
          <w:lang w:val="en-GB"/>
        </w:rPr>
        <w:t xml:space="preserve">: </w:t>
      </w:r>
      <w:r w:rsidRPr="00B05347">
        <w:rPr>
          <w:rFonts w:ascii="Verdana" w:hAnsi="Verdana"/>
          <w:i/>
          <w:sz w:val="20"/>
          <w:szCs w:val="20"/>
          <w:lang w:val="en-GB"/>
        </w:rPr>
        <w:t>The drivers of fisheries and aquaculture production in the EU</w:t>
      </w:r>
      <w:r w:rsidRPr="00B05347">
        <w:rPr>
          <w:rFonts w:ascii="Verdana" w:hAnsi="Verdana"/>
          <w:sz w:val="20"/>
          <w:szCs w:val="20"/>
          <w:lang w:val="en-GB"/>
        </w:rPr>
        <w:t xml:space="preserve">. Sara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Hornborg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Kristina Bergman and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Friederike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Ziegler. </w:t>
      </w:r>
      <w:hyperlink r:id="rId16" w:history="1">
        <w:r w:rsidRPr="00B05347">
          <w:rPr>
            <w:rStyle w:val="Hyperlink"/>
            <w:rFonts w:ascii="Verdana" w:hAnsi="Verdana"/>
            <w:sz w:val="20"/>
            <w:szCs w:val="20"/>
            <w:lang w:val="en-GB"/>
          </w:rPr>
          <w:t>http://susfans.eu/portfolio/deliverable-42-drivers-fisheries-and-aquaculture-production-eu</w:t>
        </w:r>
      </w:hyperlink>
      <w:r w:rsidRPr="00B05347">
        <w:rPr>
          <w:rFonts w:ascii="Verdana" w:hAnsi="Verdana"/>
          <w:sz w:val="20"/>
          <w:szCs w:val="20"/>
          <w:lang w:val="en-GB"/>
        </w:rPr>
        <w:t xml:space="preserve"> </w:t>
      </w:r>
    </w:p>
    <w:p w14:paraId="410EB1DD" w14:textId="77777777" w:rsidR="00563378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i/>
          <w:sz w:val="20"/>
          <w:szCs w:val="20"/>
          <w:lang w:val="en-GB"/>
        </w:rPr>
        <w:t xml:space="preserve"> Establishing a common accounting system for the LCA and emission leakage in the CAPRI model</w:t>
      </w:r>
      <w:r w:rsidRPr="00B05347">
        <w:rPr>
          <w:rFonts w:ascii="Verdana" w:hAnsi="Verdana"/>
          <w:i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Andrea Zimmerm</w:t>
      </w:r>
      <w:r w:rsidRPr="00B05347">
        <w:rPr>
          <w:rFonts w:ascii="Verdana" w:hAnsi="Verdana"/>
          <w:sz w:val="20"/>
          <w:szCs w:val="20"/>
          <w:lang w:val="en-GB"/>
        </w:rPr>
        <w:t xml:space="preserve">ann (UBO) and Adrian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Leip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(JRC).  </w:t>
      </w:r>
      <w:hyperlink r:id="rId17" w:history="1">
        <w:r w:rsidRPr="00B05347">
          <w:rPr>
            <w:rStyle w:val="Hyperlink"/>
            <w:rFonts w:ascii="Verdana" w:hAnsi="Verdana"/>
            <w:sz w:val="20"/>
            <w:szCs w:val="20"/>
            <w:lang w:val="en-GB"/>
          </w:rPr>
          <w:t>http://www.susfans.eu/portfolio/deliverable-44-crop-production-context-food-and-nutrition-security-0</w:t>
        </w:r>
      </w:hyperlink>
      <w:r w:rsidRPr="00B05347">
        <w:rPr>
          <w:rFonts w:ascii="Verdana" w:hAnsi="Verdana"/>
          <w:sz w:val="20"/>
          <w:szCs w:val="20"/>
          <w:lang w:val="en-GB"/>
        </w:rPr>
        <w:t xml:space="preserve"> </w:t>
      </w:r>
    </w:p>
    <w:p w14:paraId="6BCA4559" w14:textId="77777777" w:rsidR="00B05347" w:rsidRPr="00B05347" w:rsidRDefault="00563378" w:rsidP="00B05347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The SUSFANS Stakeholder Core Group, drawn across different sectors and roles in European sustainable food and nutrition security</w:t>
      </w:r>
      <w:r w:rsidRPr="00B05347">
        <w:rPr>
          <w:rFonts w:ascii="Verdana" w:hAnsi="Verdana"/>
          <w:sz w:val="20"/>
          <w:szCs w:val="20"/>
          <w:lang w:val="en-GB"/>
        </w:rPr>
        <w:t xml:space="preserve">. </w:t>
      </w:r>
      <w:r w:rsidRPr="00B05347">
        <w:rPr>
          <w:rFonts w:ascii="Verdana" w:hAnsi="Verdana"/>
          <w:sz w:val="20"/>
          <w:szCs w:val="20"/>
        </w:rPr>
        <w:t xml:space="preserve">John Ingram (UOXF), Pierre </w:t>
      </w:r>
      <w:proofErr w:type="spellStart"/>
      <w:r w:rsidRPr="00B05347">
        <w:rPr>
          <w:rFonts w:ascii="Verdana" w:hAnsi="Verdana"/>
          <w:sz w:val="20"/>
          <w:szCs w:val="20"/>
        </w:rPr>
        <w:t>Dussourt</w:t>
      </w:r>
      <w:proofErr w:type="spellEnd"/>
      <w:r w:rsidR="00B05347" w:rsidRPr="00B05347">
        <w:rPr>
          <w:rFonts w:ascii="Verdana" w:hAnsi="Verdana"/>
          <w:sz w:val="20"/>
          <w:szCs w:val="20"/>
        </w:rPr>
        <w:t xml:space="preserve"> (ILSI-EU) </w:t>
      </w:r>
      <w:proofErr w:type="spellStart"/>
      <w:r w:rsidR="00B05347" w:rsidRPr="00B05347">
        <w:rPr>
          <w:rFonts w:ascii="Verdana" w:hAnsi="Verdana"/>
          <w:sz w:val="20"/>
          <w:szCs w:val="20"/>
        </w:rPr>
        <w:t>and</w:t>
      </w:r>
      <w:proofErr w:type="spellEnd"/>
      <w:r w:rsidR="00B05347" w:rsidRPr="00B05347">
        <w:rPr>
          <w:rFonts w:ascii="Verdana" w:hAnsi="Verdana"/>
          <w:sz w:val="20"/>
          <w:szCs w:val="20"/>
        </w:rPr>
        <w:t xml:space="preserve"> Thom </w:t>
      </w:r>
      <w:proofErr w:type="spellStart"/>
      <w:r w:rsidR="00B05347" w:rsidRPr="00B05347">
        <w:rPr>
          <w:rFonts w:ascii="Verdana" w:hAnsi="Verdana"/>
          <w:sz w:val="20"/>
          <w:szCs w:val="20"/>
        </w:rPr>
        <w:t>Achterbosch</w:t>
      </w:r>
      <w:proofErr w:type="spellEnd"/>
      <w:r w:rsidRPr="00B05347">
        <w:rPr>
          <w:rFonts w:ascii="Verdana" w:hAnsi="Verdana"/>
          <w:sz w:val="20"/>
          <w:szCs w:val="20"/>
        </w:rPr>
        <w:t xml:space="preserve"> (Wageningen U&amp;R). </w:t>
      </w:r>
      <w:hyperlink r:id="rId18" w:history="1">
        <w:r w:rsidR="00B05347" w:rsidRPr="00B05347">
          <w:rPr>
            <w:rStyle w:val="Hyperlink"/>
            <w:rFonts w:ascii="Verdana" w:hAnsi="Verdana"/>
            <w:sz w:val="20"/>
            <w:szCs w:val="20"/>
          </w:rPr>
          <w:t>http://susfans.eu/portfolio/d-61-susfans-stakeholder-core-group-drawn</w:t>
        </w:r>
      </w:hyperlink>
      <w:r w:rsidR="00B05347" w:rsidRPr="00B05347">
        <w:rPr>
          <w:rFonts w:ascii="Verdana" w:hAnsi="Verdana"/>
          <w:sz w:val="20"/>
          <w:szCs w:val="20"/>
        </w:rPr>
        <w:t xml:space="preserve"> </w:t>
      </w:r>
    </w:p>
    <w:p w14:paraId="49D34DE9" w14:textId="77777777" w:rsidR="00B05347" w:rsidRPr="00B05347" w:rsidRDefault="00563378" w:rsidP="00B05347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="00B05347"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Fundamentals, Speculation or Macroeconomic Conditions? On the Determinants of Commodity Price Dynamics, with an Application to Arabica Coffee</w:t>
      </w:r>
      <w:r w:rsidRPr="00B05347">
        <w:rPr>
          <w:rFonts w:ascii="Verdana" w:hAnsi="Verdana"/>
          <w:sz w:val="20"/>
          <w:szCs w:val="20"/>
          <w:lang w:val="en-GB"/>
        </w:rPr>
        <w:t>. IIASA</w:t>
      </w:r>
      <w:r w:rsidR="00B05347" w:rsidRPr="00B05347">
        <w:rPr>
          <w:rFonts w:ascii="Verdana" w:hAnsi="Verdana"/>
          <w:sz w:val="20"/>
          <w:szCs w:val="20"/>
          <w:lang w:val="en-GB"/>
        </w:rPr>
        <w:t xml:space="preserve">. </w:t>
      </w:r>
      <w:hyperlink r:id="rId19" w:history="1">
        <w:r w:rsidR="00B05347" w:rsidRPr="00B05347">
          <w:rPr>
            <w:rStyle w:val="Hyperlink"/>
            <w:rFonts w:ascii="Verdana" w:hAnsi="Verdana"/>
            <w:sz w:val="20"/>
            <w:szCs w:val="20"/>
            <w:lang w:val="en-GB"/>
          </w:rPr>
          <w:t>http://susfans.eu/portfolio/deliverable-81-decomposition-agricultural-commodity-markets-volatility-between</w:t>
        </w:r>
      </w:hyperlink>
      <w:r w:rsidR="00B05347" w:rsidRPr="00B05347">
        <w:rPr>
          <w:rFonts w:ascii="Verdana" w:hAnsi="Verdana"/>
          <w:sz w:val="20"/>
          <w:szCs w:val="20"/>
          <w:lang w:val="en-GB"/>
        </w:rPr>
        <w:t xml:space="preserve"> </w:t>
      </w:r>
    </w:p>
    <w:p w14:paraId="4A60B0BF" w14:textId="77777777" w:rsidR="00B05347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Confidential Report</w:t>
      </w:r>
      <w:r w:rsidR="00B05347"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Forecasting Commodity Prices: A Comprehensive Approach</w:t>
      </w:r>
      <w:r w:rsidRPr="00B05347">
        <w:rPr>
          <w:rFonts w:ascii="Verdana" w:hAnsi="Verdana"/>
          <w:sz w:val="20"/>
          <w:szCs w:val="20"/>
          <w:lang w:val="en-GB"/>
        </w:rPr>
        <w:t xml:space="preserve">. Jesus Crespo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Cuaresma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Jaroslava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B05347">
        <w:rPr>
          <w:rFonts w:ascii="Verdana" w:hAnsi="Verdana"/>
          <w:sz w:val="20"/>
          <w:szCs w:val="20"/>
          <w:lang w:val="en-GB"/>
        </w:rPr>
        <w:t>Hlouskova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>, and Mic</w:t>
      </w:r>
      <w:r w:rsidR="00B05347" w:rsidRPr="00B05347">
        <w:rPr>
          <w:rFonts w:ascii="Verdana" w:hAnsi="Verdana"/>
          <w:sz w:val="20"/>
          <w:szCs w:val="20"/>
          <w:lang w:val="en-GB"/>
        </w:rPr>
        <w:t xml:space="preserve">hael </w:t>
      </w:r>
      <w:proofErr w:type="spellStart"/>
      <w:r w:rsidR="00B05347" w:rsidRPr="00B05347">
        <w:rPr>
          <w:rFonts w:ascii="Verdana" w:hAnsi="Verdana"/>
          <w:sz w:val="20"/>
          <w:szCs w:val="20"/>
          <w:lang w:val="en-GB"/>
        </w:rPr>
        <w:t>Obersteiner</w:t>
      </w:r>
      <w:proofErr w:type="spellEnd"/>
      <w:r w:rsidRPr="00B05347">
        <w:rPr>
          <w:rFonts w:ascii="Verdana" w:hAnsi="Verdana"/>
          <w:sz w:val="20"/>
          <w:szCs w:val="20"/>
          <w:lang w:val="en-GB"/>
        </w:rPr>
        <w:t xml:space="preserve"> (IIASA) </w:t>
      </w:r>
    </w:p>
    <w:p w14:paraId="7A6965B3" w14:textId="77777777" w:rsidR="00B05347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="00B05347"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i/>
          <w:sz w:val="20"/>
          <w:szCs w:val="20"/>
          <w:lang w:val="en-GB"/>
        </w:rPr>
        <w:t xml:space="preserve"> The SUSFANS communication plan</w:t>
      </w:r>
      <w:r w:rsidRPr="00B05347">
        <w:rPr>
          <w:rFonts w:ascii="Verdana" w:hAnsi="Verdana"/>
          <w:sz w:val="20"/>
          <w:szCs w:val="20"/>
          <w:lang w:val="en-GB"/>
        </w:rPr>
        <w:t>. WUR-LEI</w:t>
      </w:r>
      <w:r w:rsidR="00B05347" w:rsidRPr="00B05347">
        <w:rPr>
          <w:rFonts w:ascii="Verdana" w:hAnsi="Verdana"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Web-link Public version: to be completed! </w:t>
      </w:r>
    </w:p>
    <w:p w14:paraId="386F8DD2" w14:textId="77777777" w:rsidR="00B05347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="00B05347"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Logo and Website</w:t>
      </w:r>
      <w:r w:rsidRPr="00B05347">
        <w:rPr>
          <w:rFonts w:ascii="Verdana" w:hAnsi="Verdana"/>
          <w:sz w:val="20"/>
          <w:szCs w:val="20"/>
          <w:lang w:val="en-GB"/>
        </w:rPr>
        <w:t>. WUR-LEI</w:t>
      </w:r>
      <w:r w:rsidR="00B05347" w:rsidRPr="00B05347">
        <w:rPr>
          <w:rFonts w:ascii="Verdana" w:hAnsi="Verdana"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Web-link Public version: to be completed!</w:t>
      </w:r>
    </w:p>
    <w:p w14:paraId="2AA08CA1" w14:textId="77777777" w:rsidR="00B05347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Public Report</w:t>
      </w:r>
      <w:r w:rsidR="00B05347"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  <w:r w:rsidRPr="00B05347">
        <w:rPr>
          <w:rFonts w:ascii="Verdana" w:hAnsi="Verdana"/>
          <w:i/>
          <w:sz w:val="20"/>
          <w:szCs w:val="20"/>
          <w:lang w:val="en-GB"/>
        </w:rPr>
        <w:t>First leaflet and press release</w:t>
      </w:r>
      <w:r w:rsidRPr="00B05347">
        <w:rPr>
          <w:rFonts w:ascii="Verdana" w:hAnsi="Verdana"/>
          <w:sz w:val="20"/>
          <w:szCs w:val="20"/>
          <w:lang w:val="en-GB"/>
        </w:rPr>
        <w:t>. WUR-LEI</w:t>
      </w:r>
      <w:r w:rsidR="00B05347" w:rsidRPr="00B05347">
        <w:rPr>
          <w:rFonts w:ascii="Verdana" w:hAnsi="Verdana"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Web-link Public version: to be completed! </w:t>
      </w:r>
    </w:p>
    <w:p w14:paraId="6C3FC012" w14:textId="77777777" w:rsidR="00563378" w:rsidRPr="00B05347" w:rsidRDefault="00563378" w:rsidP="00563378">
      <w:pPr>
        <w:pStyle w:val="Lijstalinea"/>
        <w:numPr>
          <w:ilvl w:val="0"/>
          <w:numId w:val="2"/>
        </w:numPr>
        <w:spacing w:after="1"/>
        <w:rPr>
          <w:rFonts w:ascii="Verdana" w:hAnsi="Verdana"/>
          <w:sz w:val="20"/>
          <w:szCs w:val="20"/>
          <w:lang w:val="en-GB"/>
        </w:rPr>
      </w:pPr>
      <w:r w:rsidRPr="00B05347">
        <w:rPr>
          <w:rFonts w:ascii="Verdana" w:hAnsi="Verdana"/>
          <w:sz w:val="20"/>
          <w:szCs w:val="20"/>
          <w:lang w:val="en-GB"/>
        </w:rPr>
        <w:t>Confidential Report</w:t>
      </w:r>
      <w:r w:rsidR="00B05347" w:rsidRPr="00B05347">
        <w:rPr>
          <w:rFonts w:ascii="Verdana" w:hAnsi="Verdana"/>
          <w:sz w:val="20"/>
          <w:szCs w:val="20"/>
          <w:lang w:val="en-GB"/>
        </w:rPr>
        <w:t>:</w:t>
      </w:r>
      <w:r w:rsidRPr="00B05347">
        <w:rPr>
          <w:rFonts w:ascii="Verdana" w:hAnsi="Verdana"/>
          <w:i/>
          <w:sz w:val="20"/>
          <w:szCs w:val="20"/>
          <w:lang w:val="en-GB"/>
        </w:rPr>
        <w:t xml:space="preserve"> Consortium Agreement</w:t>
      </w:r>
      <w:r w:rsidR="00B05347" w:rsidRPr="00B05347">
        <w:rPr>
          <w:rFonts w:ascii="Verdana" w:hAnsi="Verdana"/>
          <w:i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WECR</w:t>
      </w:r>
      <w:r w:rsidR="00B05347" w:rsidRPr="00B05347">
        <w:rPr>
          <w:rFonts w:ascii="Verdana" w:hAnsi="Verdana"/>
          <w:sz w:val="20"/>
          <w:szCs w:val="20"/>
          <w:lang w:val="en-GB"/>
        </w:rPr>
        <w:t>.</w:t>
      </w:r>
      <w:r w:rsidRPr="00B05347">
        <w:rPr>
          <w:rFonts w:ascii="Verdana" w:hAnsi="Verdana"/>
          <w:sz w:val="20"/>
          <w:szCs w:val="20"/>
          <w:lang w:val="en-GB"/>
        </w:rPr>
        <w:t xml:space="preserve"> </w:t>
      </w:r>
    </w:p>
    <w:sectPr w:rsidR="00563378" w:rsidRPr="00B05347">
      <w:pgSz w:w="11906" w:h="16838"/>
      <w:pgMar w:top="1418" w:right="1632" w:bottom="316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E1D"/>
    <w:multiLevelType w:val="hybridMultilevel"/>
    <w:tmpl w:val="489ACB76"/>
    <w:lvl w:ilvl="0" w:tplc="717642E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6016"/>
    <w:multiLevelType w:val="hybridMultilevel"/>
    <w:tmpl w:val="11486B86"/>
    <w:lvl w:ilvl="0" w:tplc="7C14775C">
      <w:start w:val="1"/>
      <w:numFmt w:val="bullet"/>
      <w:lvlText w:val="-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4685C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2EC53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DA293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1AA78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46AF7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1ADC8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B0930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70CC1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7F"/>
    <w:rsid w:val="00563378"/>
    <w:rsid w:val="009436B0"/>
    <w:rsid w:val="00B05347"/>
    <w:rsid w:val="00D8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44A3"/>
  <w15:docId w15:val="{6D1939A6-8E1E-4793-A4E8-57197FFD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943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3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usfans.eu/portfolio/deliverable-21-consumers%E2%80%99-knowledge-about-determinants-fo-sustainable-diet" TargetMode="External"/><Relationship Id="rId18" Type="http://schemas.openxmlformats.org/officeDocument/2006/relationships/hyperlink" Target="http://susfans.eu/portfolio/d-61-susfans-stakeholder-core-group-draw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susfans.eu/portfolio/framework-assessing-and-devising-policy-sustainable-food-and-nutrition-security-eu-susfans" TargetMode="External"/><Relationship Id="rId17" Type="http://schemas.openxmlformats.org/officeDocument/2006/relationships/hyperlink" Target="http://www.susfans.eu/portfolio/deliverable-44-crop-production-context-food-and-nutrition-security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usfans.eu/portfolio/deliverable-42-drivers-fisheries-and-aquaculture-production-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x.doi.org/10.1016/j.agsy.2016.10.014" TargetMode="External"/><Relationship Id="rId5" Type="http://schemas.openxmlformats.org/officeDocument/2006/relationships/styles" Target="styles.xml"/><Relationship Id="rId15" Type="http://schemas.openxmlformats.org/officeDocument/2006/relationships/hyperlink" Target="http://susfans.eu/portfolio/deliverable-41-drivers-livestock-production-eu" TargetMode="External"/><Relationship Id="rId10" Type="http://schemas.openxmlformats.org/officeDocument/2006/relationships/hyperlink" Target="http://dx.doi.org/10.1016/j.agsy.2016.10.014" TargetMode="External"/><Relationship Id="rId19" Type="http://schemas.openxmlformats.org/officeDocument/2006/relationships/hyperlink" Target="http://susfans.eu/portfolio/deliverable-81-decomposition-agricultural-commodity-markets-volatility-betwe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x.doi.org/10.1016/j.agsy.2016.10.014" TargetMode="External"/><Relationship Id="rId14" Type="http://schemas.openxmlformats.org/officeDocument/2006/relationships/hyperlink" Target="http://susfans.eu/portfolio/deliverable-22-protocol-defining-nutritional-adequacy-total-diets-and-foods-consumed-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4" ma:contentTypeDescription="Een nieuw document maken." ma:contentTypeScope="" ma:versionID="8f25ee3505a8f43c60693a27035afe16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3cefff770f171a24eed1e2d09d3726e9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22C21-1579-4B58-9410-34F58CD7F86A}"/>
</file>

<file path=customXml/itemProps2.xml><?xml version="1.0" encoding="utf-8"?>
<ds:datastoreItem xmlns:ds="http://schemas.openxmlformats.org/officeDocument/2006/customXml" ds:itemID="{1F91E4E8-5F97-4055-BF8C-4438F0903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F2323-B9FF-4A05-81A3-3F33CC3F2C2D}">
  <ds:schemaRefs>
    <ds:schemaRef ds:uri="http://schemas.microsoft.com/office/2006/metadata/properties"/>
    <ds:schemaRef ds:uri="613a0b3b-9fae-4b3b-98e2-6594dae8013c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Mogelijk format DLO-jaarrapportage</vt:lpstr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Annemarie Burger</cp:lastModifiedBy>
  <cp:revision>2</cp:revision>
  <dcterms:created xsi:type="dcterms:W3CDTF">2017-07-04T12:20:00Z</dcterms:created>
  <dcterms:modified xsi:type="dcterms:W3CDTF">2017-07-04T12:20:00Z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0x010100A355CAA436D298468E844A613342345F</vt:lpwstr>
  </property>
</Properties>
</file>